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F114" w14:textId="77777777" w:rsidR="000578EF" w:rsidRPr="00EC50C0" w:rsidRDefault="000578EF" w:rsidP="000578EF">
      <w:pPr>
        <w:contextualSpacing/>
        <w:jc w:val="center"/>
        <w:rPr>
          <w:rFonts w:cs="Arial"/>
          <w:b/>
          <w:caps/>
        </w:rPr>
      </w:pPr>
      <w:r w:rsidRPr="00EC50C0">
        <w:rPr>
          <w:b/>
          <w:caps/>
        </w:rPr>
        <w:t>DATA PROCESSING AGREEMENT</w:t>
      </w:r>
    </w:p>
    <w:p w14:paraId="780F3446" w14:textId="77777777" w:rsidR="000578EF" w:rsidRPr="00EC50C0" w:rsidRDefault="000578EF" w:rsidP="000578EF">
      <w:pPr>
        <w:contextualSpacing/>
        <w:jc w:val="center"/>
        <w:rPr>
          <w:rFonts w:cs="Arial"/>
          <w:b/>
          <w:caps/>
        </w:rPr>
      </w:pPr>
    </w:p>
    <w:p w14:paraId="7A55617B" w14:textId="77777777" w:rsidR="000578EF" w:rsidRPr="00EC50C0" w:rsidRDefault="000578EF" w:rsidP="000578EF">
      <w:pPr>
        <w:contextualSpacing/>
        <w:jc w:val="center"/>
        <w:rPr>
          <w:rFonts w:cs="Arial"/>
          <w:caps/>
        </w:rPr>
      </w:pPr>
      <w:r w:rsidRPr="00EC50C0">
        <w:rPr>
          <w:caps/>
        </w:rPr>
        <w:t>[</w:t>
      </w:r>
      <w:r w:rsidRPr="00EC50C0">
        <w:rPr>
          <w:i/>
          <w:highlight w:val="yellow"/>
        </w:rPr>
        <w:t xml:space="preserve">specify date, number and place of conclusion of the </w:t>
      </w:r>
      <w:r>
        <w:rPr>
          <w:i/>
          <w:highlight w:val="yellow"/>
        </w:rPr>
        <w:t>A</w:t>
      </w:r>
      <w:r w:rsidRPr="00EC50C0">
        <w:rPr>
          <w:i/>
          <w:highlight w:val="yellow"/>
        </w:rPr>
        <w:t xml:space="preserve">greement, except where the </w:t>
      </w:r>
      <w:r>
        <w:rPr>
          <w:i/>
          <w:highlight w:val="yellow"/>
        </w:rPr>
        <w:t>A</w:t>
      </w:r>
      <w:r w:rsidRPr="00EC50C0">
        <w:rPr>
          <w:i/>
          <w:highlight w:val="yellow"/>
        </w:rPr>
        <w:t>greement is signed with an electronic signature</w:t>
      </w:r>
      <w:r w:rsidRPr="00EC50C0">
        <w:t>]</w:t>
      </w:r>
    </w:p>
    <w:p w14:paraId="66555D1E" w14:textId="30003D35" w:rsidR="000578EF" w:rsidRPr="00EC50C0" w:rsidRDefault="000578EF" w:rsidP="000578EF">
      <w:pPr>
        <w:contextualSpacing/>
        <w:rPr>
          <w:rFonts w:cs="Arial"/>
          <w:i/>
        </w:rPr>
      </w:pPr>
    </w:p>
    <w:p w14:paraId="73E23D4F" w14:textId="77777777" w:rsidR="000578EF" w:rsidRPr="00EC50C0" w:rsidRDefault="000578EF" w:rsidP="000578EF">
      <w:pPr>
        <w:contextualSpacing/>
        <w:jc w:val="center"/>
        <w:rPr>
          <w:rFonts w:cs="Arial"/>
        </w:rPr>
      </w:pPr>
    </w:p>
    <w:p w14:paraId="4956F1BD" w14:textId="77777777" w:rsidR="000578EF" w:rsidRPr="00EC50C0" w:rsidRDefault="000578EF" w:rsidP="000578EF">
      <w:pPr>
        <w:contextualSpacing/>
        <w:rPr>
          <w:rFonts w:cs="Arial"/>
        </w:rPr>
      </w:pPr>
      <w:r w:rsidRPr="00EC50C0">
        <w:t>Between</w:t>
      </w:r>
    </w:p>
    <w:p w14:paraId="2784CB2F" w14:textId="77777777" w:rsidR="000578EF" w:rsidRPr="00EC50C0" w:rsidRDefault="000578EF" w:rsidP="000578EF">
      <w:pPr>
        <w:contextualSpacing/>
        <w:rPr>
          <w:rFonts w:cs="Arial"/>
        </w:rPr>
      </w:pPr>
    </w:p>
    <w:p w14:paraId="2C7396A7" w14:textId="77777777" w:rsidR="000578EF" w:rsidRPr="00EC50C0" w:rsidRDefault="000578EF" w:rsidP="000578EF">
      <w:pPr>
        <w:contextualSpacing/>
        <w:rPr>
          <w:rFonts w:cs="Arial"/>
          <w:i/>
        </w:rPr>
      </w:pPr>
      <w:r w:rsidRPr="00EC50C0">
        <w:t>[</w:t>
      </w:r>
      <w:r w:rsidRPr="00EC50C0">
        <w:rPr>
          <w:b/>
          <w:i/>
          <w:shd w:val="clear" w:color="auto" w:fill="FFFF00"/>
        </w:rPr>
        <w:t>specify the legal form and name of the legal entity</w:t>
      </w:r>
      <w:r w:rsidRPr="00EC50C0">
        <w:t>], legal entity code [</w:t>
      </w:r>
      <w:r w:rsidRPr="00EC50C0">
        <w:rPr>
          <w:i/>
          <w:highlight w:val="yellow"/>
        </w:rPr>
        <w:t>specify the legal entity code</w:t>
      </w:r>
      <w:r w:rsidRPr="00EC50C0">
        <w:t>], registered office address [</w:t>
      </w:r>
      <w:r w:rsidRPr="00EC50C0">
        <w:rPr>
          <w:i/>
          <w:highlight w:val="yellow"/>
        </w:rPr>
        <w:t>specify the address of the registered office</w:t>
      </w:r>
      <w:r w:rsidRPr="00EC50C0">
        <w:t xml:space="preserve">] (the </w:t>
      </w:r>
      <w:r w:rsidRPr="00EC50C0">
        <w:rPr>
          <w:b/>
        </w:rPr>
        <w:t>‘Data Controller’ or the ‘Controller’</w:t>
      </w:r>
      <w:r w:rsidRPr="00EC50C0">
        <w:t>), represented by [</w:t>
      </w:r>
      <w:r w:rsidRPr="00EC50C0">
        <w:rPr>
          <w:i/>
          <w:highlight w:val="yellow"/>
        </w:rPr>
        <w:t xml:space="preserve">specify the position, </w:t>
      </w:r>
      <w:r>
        <w:rPr>
          <w:i/>
          <w:highlight w:val="yellow"/>
        </w:rPr>
        <w:t xml:space="preserve">full </w:t>
      </w:r>
      <w:r w:rsidRPr="00EC50C0">
        <w:rPr>
          <w:i/>
          <w:highlight w:val="yellow"/>
        </w:rPr>
        <w:t>name</w:t>
      </w:r>
      <w:r w:rsidRPr="00EC50C0">
        <w:t>], acting in accordance with the [</w:t>
      </w:r>
      <w:r w:rsidRPr="00EC50C0">
        <w:rPr>
          <w:i/>
          <w:highlight w:val="yellow"/>
        </w:rPr>
        <w:t>specify the document on the basis of which the person acts</w:t>
      </w:r>
      <w:r w:rsidRPr="00EC50C0">
        <w:t>],</w:t>
      </w:r>
    </w:p>
    <w:p w14:paraId="69675091" w14:textId="77777777" w:rsidR="000578EF" w:rsidRPr="00EC50C0" w:rsidRDefault="000578EF" w:rsidP="000578EF">
      <w:pPr>
        <w:contextualSpacing/>
        <w:rPr>
          <w:rFonts w:cs="Arial"/>
        </w:rPr>
      </w:pPr>
    </w:p>
    <w:p w14:paraId="3B8ACAF4" w14:textId="77777777" w:rsidR="000578EF" w:rsidRPr="00EC50C0" w:rsidRDefault="000578EF" w:rsidP="000578EF">
      <w:pPr>
        <w:contextualSpacing/>
        <w:rPr>
          <w:rFonts w:cs="Arial"/>
        </w:rPr>
      </w:pPr>
      <w:r w:rsidRPr="00EC50C0">
        <w:t>and</w:t>
      </w:r>
    </w:p>
    <w:p w14:paraId="5698CB48" w14:textId="77777777" w:rsidR="000578EF" w:rsidRPr="00EC50C0" w:rsidRDefault="000578EF" w:rsidP="000578EF">
      <w:pPr>
        <w:contextualSpacing/>
        <w:rPr>
          <w:rFonts w:cs="Arial"/>
        </w:rPr>
      </w:pPr>
    </w:p>
    <w:p w14:paraId="3EBB5E6D" w14:textId="77777777" w:rsidR="000578EF" w:rsidRPr="00EC50C0" w:rsidRDefault="000578EF" w:rsidP="000578EF">
      <w:pPr>
        <w:contextualSpacing/>
        <w:rPr>
          <w:rFonts w:cs="Arial"/>
          <w:i/>
        </w:rPr>
      </w:pPr>
      <w:r w:rsidRPr="00EC50C0">
        <w:t>[</w:t>
      </w:r>
      <w:r w:rsidRPr="00EC50C0">
        <w:rPr>
          <w:b/>
          <w:i/>
          <w:shd w:val="clear" w:color="auto" w:fill="FFFF00"/>
        </w:rPr>
        <w:t>specify the legal form and name of the legal entity</w:t>
      </w:r>
      <w:r w:rsidRPr="00EC50C0">
        <w:t>], legal entity code [</w:t>
      </w:r>
      <w:r w:rsidRPr="00EC50C0">
        <w:rPr>
          <w:i/>
          <w:highlight w:val="yellow"/>
        </w:rPr>
        <w:t>specify the legal entity code</w:t>
      </w:r>
      <w:r w:rsidRPr="00EC50C0">
        <w:t>], registered office address [</w:t>
      </w:r>
      <w:r w:rsidRPr="00EC50C0">
        <w:rPr>
          <w:i/>
          <w:highlight w:val="yellow"/>
        </w:rPr>
        <w:t>specify the address of the registered office</w:t>
      </w:r>
      <w:r w:rsidRPr="00EC50C0">
        <w:t xml:space="preserve">] (the </w:t>
      </w:r>
      <w:r w:rsidRPr="00EC50C0">
        <w:rPr>
          <w:b/>
        </w:rPr>
        <w:t>‘Data Processor’ or the ‘Processor’</w:t>
      </w:r>
      <w:r w:rsidRPr="00EC50C0">
        <w:t>), represented by [</w:t>
      </w:r>
      <w:r w:rsidRPr="00EC50C0">
        <w:rPr>
          <w:i/>
          <w:highlight w:val="yellow"/>
        </w:rPr>
        <w:t xml:space="preserve">specify the position, </w:t>
      </w:r>
      <w:r>
        <w:rPr>
          <w:i/>
          <w:highlight w:val="yellow"/>
        </w:rPr>
        <w:t xml:space="preserve">full </w:t>
      </w:r>
      <w:r w:rsidRPr="00EC50C0">
        <w:rPr>
          <w:i/>
          <w:highlight w:val="yellow"/>
        </w:rPr>
        <w:t>name</w:t>
      </w:r>
      <w:r w:rsidRPr="00EC50C0">
        <w:t>], acting in accordance with the [</w:t>
      </w:r>
      <w:r w:rsidRPr="00EC50C0">
        <w:rPr>
          <w:i/>
          <w:highlight w:val="yellow"/>
        </w:rPr>
        <w:t>specify the document on the basis of which the person acts</w:t>
      </w:r>
      <w:r w:rsidRPr="00EC50C0">
        <w:t>].</w:t>
      </w:r>
    </w:p>
    <w:p w14:paraId="35224A33" w14:textId="77777777" w:rsidR="000578EF" w:rsidRPr="00EC50C0" w:rsidRDefault="000578EF" w:rsidP="000578EF">
      <w:pPr>
        <w:contextualSpacing/>
        <w:rPr>
          <w:rFonts w:cs="Arial"/>
        </w:rPr>
      </w:pPr>
    </w:p>
    <w:p w14:paraId="7F854EC1" w14:textId="77777777" w:rsidR="000578EF" w:rsidRPr="00EC50C0" w:rsidRDefault="000578EF" w:rsidP="000578EF">
      <w:pPr>
        <w:pStyle w:val="SLONormal"/>
        <w:spacing w:before="0" w:after="0"/>
        <w:contextualSpacing/>
        <w:rPr>
          <w:rFonts w:ascii="Arial" w:hAnsi="Arial" w:cs="Arial"/>
          <w:sz w:val="22"/>
          <w:szCs w:val="22"/>
        </w:rPr>
      </w:pPr>
      <w:r w:rsidRPr="00EC50C0">
        <w:rPr>
          <w:rFonts w:ascii="Arial" w:hAnsi="Arial"/>
          <w:sz w:val="22"/>
        </w:rPr>
        <w:t xml:space="preserve">The Controller and the Processor hereinafter shall be collectively referred to as the </w:t>
      </w:r>
      <w:r w:rsidRPr="00EC50C0">
        <w:rPr>
          <w:rFonts w:ascii="Arial" w:hAnsi="Arial"/>
          <w:b/>
          <w:bCs/>
          <w:sz w:val="22"/>
        </w:rPr>
        <w:t>Parties</w:t>
      </w:r>
      <w:r w:rsidRPr="00EC50C0">
        <w:rPr>
          <w:rFonts w:ascii="Arial" w:hAnsi="Arial"/>
          <w:sz w:val="22"/>
        </w:rPr>
        <w:t xml:space="preserve"> and individually as a </w:t>
      </w:r>
      <w:r w:rsidRPr="00EC50C0">
        <w:rPr>
          <w:rFonts w:ascii="Arial" w:hAnsi="Arial"/>
          <w:b/>
          <w:bCs/>
          <w:sz w:val="22"/>
        </w:rPr>
        <w:t>Party</w:t>
      </w:r>
      <w:r w:rsidRPr="00EC50C0">
        <w:rPr>
          <w:rFonts w:ascii="Arial" w:hAnsi="Arial"/>
          <w:sz w:val="22"/>
        </w:rPr>
        <w:t>.</w:t>
      </w:r>
    </w:p>
    <w:p w14:paraId="382B4636" w14:textId="77777777" w:rsidR="000578EF" w:rsidRPr="00EC50C0" w:rsidRDefault="000578EF" w:rsidP="000578EF">
      <w:pPr>
        <w:pStyle w:val="SLONormal"/>
        <w:spacing w:before="0" w:after="0"/>
        <w:contextualSpacing/>
        <w:rPr>
          <w:rFonts w:ascii="Arial" w:hAnsi="Arial" w:cs="Arial"/>
          <w:sz w:val="22"/>
          <w:szCs w:val="22"/>
        </w:rPr>
      </w:pPr>
    </w:p>
    <w:p w14:paraId="6F316872" w14:textId="77777777" w:rsidR="000578EF" w:rsidRPr="00EC50C0" w:rsidRDefault="000578EF" w:rsidP="000578EF">
      <w:pPr>
        <w:rPr>
          <w:rFonts w:eastAsia="Times New Roman" w:cs="Arial"/>
        </w:rPr>
      </w:pPr>
      <w:r w:rsidRPr="00EC50C0">
        <w:t xml:space="preserve">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(the </w:t>
      </w:r>
      <w:r w:rsidRPr="00EC50C0">
        <w:rPr>
          <w:b/>
          <w:bCs/>
        </w:rPr>
        <w:t>‘GDPR’</w:t>
      </w:r>
      <w:r w:rsidRPr="00EC50C0">
        <w:t>).</w:t>
      </w:r>
    </w:p>
    <w:p w14:paraId="5580CDA8" w14:textId="77777777" w:rsidR="000578EF" w:rsidRPr="00EC50C0" w:rsidRDefault="000578EF" w:rsidP="000578EF">
      <w:pPr>
        <w:rPr>
          <w:rFonts w:eastAsia="Times New Roman" w:cs="Arial"/>
        </w:rPr>
      </w:pPr>
    </w:p>
    <w:p w14:paraId="495E83C4" w14:textId="77777777" w:rsidR="000578EF" w:rsidRPr="00EC50C0" w:rsidRDefault="000578EF" w:rsidP="000578EF">
      <w:pPr>
        <w:contextualSpacing/>
        <w:rPr>
          <w:rFonts w:cs="Arial"/>
        </w:rPr>
      </w:pPr>
      <w:r w:rsidRPr="00EC50C0">
        <w:t>In order to implement Article 28(3) of the GDPR, the rights and obligations of the Controller and the Processor when processing personal data on behalf of the Controller are established. The agreement must aim to protect the rights of data subjects, to mitigate the specific risks to the protection of personal data and to ensure the clarity of the relationship between the Controller and the Processor and of the respective rights and obligations.</w:t>
      </w:r>
    </w:p>
    <w:p w14:paraId="49F1D8F5" w14:textId="77777777" w:rsidR="000578EF" w:rsidRPr="00EC50C0" w:rsidRDefault="000578EF" w:rsidP="000578EF">
      <w:pPr>
        <w:pStyle w:val="SLONormal"/>
        <w:spacing w:before="0" w:after="0"/>
        <w:contextualSpacing/>
        <w:rPr>
          <w:rFonts w:ascii="Arial" w:hAnsi="Arial" w:cs="Arial"/>
          <w:sz w:val="22"/>
          <w:szCs w:val="22"/>
        </w:rPr>
      </w:pPr>
    </w:p>
    <w:p w14:paraId="5E1D1847" w14:textId="77777777" w:rsidR="000578EF" w:rsidRPr="00EC50C0" w:rsidRDefault="000578EF" w:rsidP="000578EF">
      <w:pPr>
        <w:contextualSpacing/>
        <w:rPr>
          <w:rFonts w:cs="Arial"/>
        </w:rPr>
      </w:pPr>
      <w:r w:rsidRPr="00EC50C0">
        <w:t>The Controller and the Processor have entered into [</w:t>
      </w:r>
      <w:r w:rsidRPr="00EC50C0">
        <w:rPr>
          <w:i/>
          <w:highlight w:val="yellow"/>
        </w:rPr>
        <w:t>specify the type and number of the contract</w:t>
      </w:r>
      <w:r w:rsidRPr="00EC50C0">
        <w:t xml:space="preserve">] (the </w:t>
      </w:r>
      <w:r w:rsidRPr="00EC50C0">
        <w:rPr>
          <w:b/>
          <w:bCs/>
        </w:rPr>
        <w:t>‘Main Contract’</w:t>
      </w:r>
      <w:r w:rsidRPr="00EC50C0">
        <w:t>) on [</w:t>
      </w:r>
      <w:r w:rsidRPr="00EC50C0">
        <w:rPr>
          <w:i/>
          <w:highlight w:val="yellow"/>
        </w:rPr>
        <w:t>specify the date</w:t>
      </w:r>
      <w:r w:rsidRPr="00EC50C0">
        <w:t>] regarding [</w:t>
      </w:r>
      <w:r w:rsidRPr="00EC50C0">
        <w:rPr>
          <w:i/>
          <w:highlight w:val="yellow"/>
        </w:rPr>
        <w:t>specify the subject-matter of the contract</w:t>
      </w:r>
      <w:r w:rsidRPr="00EC50C0">
        <w:t xml:space="preserve">], of which this Data Processing Agreement (the </w:t>
      </w:r>
      <w:r w:rsidRPr="00EC50C0">
        <w:rPr>
          <w:b/>
          <w:bCs/>
        </w:rPr>
        <w:t>‘Agreement’</w:t>
      </w:r>
      <w:r w:rsidRPr="00EC50C0">
        <w:t>) is an integral part.  The Processor will process personal data on behalf of the Controller in accordance with this Agreement. The terms and conditions of the processing of personal data are set out in Annex 1, Instructions for the Processing of Personal Data.</w:t>
      </w:r>
    </w:p>
    <w:p w14:paraId="1D393D80" w14:textId="77777777" w:rsidR="000578EF" w:rsidRPr="00EC50C0" w:rsidRDefault="000578EF" w:rsidP="000578EF">
      <w:pPr>
        <w:contextualSpacing/>
        <w:rPr>
          <w:rFonts w:cs="Arial"/>
        </w:rPr>
      </w:pPr>
    </w:p>
    <w:p w14:paraId="37F92BF2" w14:textId="77777777" w:rsidR="000578EF" w:rsidRPr="00EC50C0" w:rsidRDefault="000578EF" w:rsidP="000578EF">
      <w:pPr>
        <w:contextualSpacing/>
        <w:rPr>
          <w:rFonts w:cs="Arial"/>
        </w:rPr>
      </w:pPr>
      <w:r w:rsidRPr="00EC50C0">
        <w:t xml:space="preserve">The purpose of this Agreement is to ensure the protection of personal data for the purpose of fulfilling the obligations under the Main Agreement while the Processor processes personal data in accordance with the conditions set out below. </w:t>
      </w:r>
    </w:p>
    <w:p w14:paraId="6D17B196" w14:textId="77777777" w:rsidR="000578EF" w:rsidRPr="00EC50C0" w:rsidRDefault="000578EF" w:rsidP="000578EF">
      <w:pPr>
        <w:contextualSpacing/>
        <w:rPr>
          <w:rFonts w:cs="Arial"/>
        </w:rPr>
      </w:pPr>
    </w:p>
    <w:p w14:paraId="4104BD0E" w14:textId="77777777" w:rsidR="000578EF" w:rsidRPr="00EC50C0" w:rsidRDefault="000578EF" w:rsidP="000578EF">
      <w:pPr>
        <w:pStyle w:val="ListParagraph"/>
        <w:numPr>
          <w:ilvl w:val="0"/>
          <w:numId w:val="1"/>
        </w:numPr>
        <w:ind w:left="426" w:hanging="426"/>
        <w:rPr>
          <w:rFonts w:cs="Arial"/>
          <w:b/>
        </w:rPr>
      </w:pPr>
      <w:r w:rsidRPr="00EC50C0">
        <w:rPr>
          <w:b/>
        </w:rPr>
        <w:t>Terms</w:t>
      </w:r>
    </w:p>
    <w:p w14:paraId="6DD59BC6" w14:textId="77777777" w:rsidR="000578EF" w:rsidRPr="00EC50C0" w:rsidRDefault="000578EF" w:rsidP="000578EF">
      <w:pPr>
        <w:contextualSpacing/>
        <w:rPr>
          <w:rFonts w:cs="Arial"/>
          <w:b/>
        </w:rPr>
      </w:pPr>
    </w:p>
    <w:p w14:paraId="36C5E507" w14:textId="77777777" w:rsidR="000578EF" w:rsidRPr="00EC50C0" w:rsidRDefault="000578EF" w:rsidP="000578EF">
      <w:pPr>
        <w:contextualSpacing/>
        <w:rPr>
          <w:rFonts w:cs="Arial"/>
        </w:rPr>
      </w:pPr>
      <w:r w:rsidRPr="00EC50C0">
        <w:t>The terms used in the Agreement shall have the following definitions:</w:t>
      </w:r>
    </w:p>
    <w:p w14:paraId="60F01F2C" w14:textId="77777777" w:rsidR="000578EF" w:rsidRPr="00EC50C0" w:rsidRDefault="000578EF" w:rsidP="000578EF">
      <w:pPr>
        <w:contextualSpacing/>
        <w:rPr>
          <w:rFonts w:cs="Arial"/>
        </w:rPr>
      </w:pPr>
    </w:p>
    <w:p w14:paraId="76E8CED2" w14:textId="77777777" w:rsidR="000578EF" w:rsidRPr="00EC50C0" w:rsidRDefault="000578EF" w:rsidP="000578EF">
      <w:pPr>
        <w:contextualSpacing/>
        <w:rPr>
          <w:rFonts w:cs="Arial"/>
        </w:rPr>
      </w:pPr>
      <w:r w:rsidRPr="00EC50C0">
        <w:rPr>
          <w:b/>
        </w:rPr>
        <w:t>Personal Data Protection Legislation</w:t>
      </w:r>
      <w:r w:rsidRPr="00EC50C0">
        <w:t xml:space="preserve"> shall mean any national or international legislation in force which is applicable to the Controller or the Processor and which governs their personal data processing activities during the term of this Agreement. This term includes the GDPR. </w:t>
      </w:r>
    </w:p>
    <w:p w14:paraId="5C534772" w14:textId="77777777" w:rsidR="000578EF" w:rsidRPr="00EC50C0" w:rsidRDefault="000578EF" w:rsidP="000578EF">
      <w:pPr>
        <w:contextualSpacing/>
        <w:rPr>
          <w:rFonts w:cs="Arial"/>
        </w:rPr>
      </w:pPr>
    </w:p>
    <w:p w14:paraId="01E8D5AE" w14:textId="77777777" w:rsidR="000578EF" w:rsidRPr="00EC50C0" w:rsidRDefault="000578EF" w:rsidP="000578EF">
      <w:pPr>
        <w:contextualSpacing/>
        <w:rPr>
          <w:rFonts w:cs="Arial"/>
        </w:rPr>
      </w:pPr>
      <w:r>
        <w:rPr>
          <w:b/>
        </w:rPr>
        <w:t>Sub-p</w:t>
      </w:r>
      <w:r w:rsidRPr="00EC50C0">
        <w:rPr>
          <w:b/>
        </w:rPr>
        <w:t xml:space="preserve">rocessor </w:t>
      </w:r>
      <w:r w:rsidRPr="00EC50C0">
        <w:t>shall mean a third party engaged by the Processor to assist in the processing of personal data.</w:t>
      </w:r>
    </w:p>
    <w:p w14:paraId="5C5A31F3" w14:textId="77777777" w:rsidR="000578EF" w:rsidRPr="00EC50C0" w:rsidRDefault="000578EF" w:rsidP="000578EF">
      <w:pPr>
        <w:contextualSpacing/>
        <w:rPr>
          <w:rFonts w:cs="Arial"/>
          <w:b/>
        </w:rPr>
      </w:pPr>
    </w:p>
    <w:p w14:paraId="0B3B2AE6" w14:textId="77777777" w:rsidR="000578EF" w:rsidRPr="00EC50C0" w:rsidRDefault="000578EF" w:rsidP="000578EF">
      <w:pPr>
        <w:contextualSpacing/>
        <w:rPr>
          <w:rFonts w:cs="Arial"/>
        </w:rPr>
      </w:pPr>
      <w:r w:rsidRPr="00EC50C0">
        <w:t>Other terms shall be understood as they are defined in the Personal Data Protection Legislation.</w:t>
      </w:r>
    </w:p>
    <w:p w14:paraId="77E96815" w14:textId="77777777" w:rsidR="000578EF" w:rsidRPr="00EC50C0" w:rsidRDefault="000578EF" w:rsidP="000578EF">
      <w:pPr>
        <w:contextualSpacing/>
        <w:rPr>
          <w:rFonts w:cs="Arial"/>
        </w:rPr>
      </w:pPr>
    </w:p>
    <w:p w14:paraId="504AE61D" w14:textId="77777777" w:rsidR="000578EF" w:rsidRPr="00EC50C0" w:rsidRDefault="000578EF" w:rsidP="000578EF">
      <w:pPr>
        <w:pStyle w:val="ListParagraph"/>
        <w:numPr>
          <w:ilvl w:val="0"/>
          <w:numId w:val="1"/>
        </w:numPr>
        <w:ind w:left="426" w:hanging="426"/>
        <w:rPr>
          <w:rFonts w:cs="Arial"/>
          <w:b/>
        </w:rPr>
      </w:pPr>
      <w:r w:rsidRPr="00EC50C0">
        <w:rPr>
          <w:b/>
        </w:rPr>
        <w:t>Obligations of the Parties</w:t>
      </w:r>
    </w:p>
    <w:p w14:paraId="646AC35F" w14:textId="77777777" w:rsidR="000578EF" w:rsidRPr="00EC50C0" w:rsidRDefault="000578EF" w:rsidP="000578EF">
      <w:pPr>
        <w:contextualSpacing/>
        <w:rPr>
          <w:rFonts w:cs="Arial"/>
          <w:b/>
        </w:rPr>
      </w:pPr>
    </w:p>
    <w:p w14:paraId="6ED5EF5F" w14:textId="77777777" w:rsidR="000578EF" w:rsidRPr="00EC50C0" w:rsidRDefault="000578EF" w:rsidP="000578EF">
      <w:pPr>
        <w:pStyle w:val="ListParagraph"/>
        <w:numPr>
          <w:ilvl w:val="1"/>
          <w:numId w:val="1"/>
        </w:numPr>
        <w:tabs>
          <w:tab w:val="left" w:pos="567"/>
        </w:tabs>
        <w:ind w:left="0" w:firstLine="0"/>
        <w:rPr>
          <w:rFonts w:cs="Arial"/>
          <w:b/>
          <w:bCs/>
        </w:rPr>
      </w:pPr>
      <w:r w:rsidRPr="00EC50C0">
        <w:rPr>
          <w:b/>
        </w:rPr>
        <w:t>The Controller:</w:t>
      </w:r>
    </w:p>
    <w:p w14:paraId="204D03E1" w14:textId="77777777" w:rsidR="000578EF" w:rsidRPr="00EC50C0" w:rsidRDefault="000578EF" w:rsidP="000578EF">
      <w:pPr>
        <w:pStyle w:val="ListParagraph"/>
        <w:numPr>
          <w:ilvl w:val="2"/>
          <w:numId w:val="1"/>
        </w:numPr>
        <w:tabs>
          <w:tab w:val="left" w:pos="567"/>
        </w:tabs>
        <w:ind w:left="0" w:firstLine="0"/>
        <w:rPr>
          <w:rFonts w:cs="Arial"/>
        </w:rPr>
      </w:pPr>
      <w:r w:rsidRPr="00EC50C0">
        <w:t xml:space="preserve"> </w:t>
      </w:r>
      <w:r>
        <w:t>u</w:t>
      </w:r>
      <w:r w:rsidRPr="00EC50C0">
        <w:t>ndertakes to ensure that personal data is processed in accordance with the GDPR (see Article 24 of the GDPR), other Personal Data Protection Legislation, and the terms of this Agreement;</w:t>
      </w:r>
    </w:p>
    <w:p w14:paraId="459A85A9" w14:textId="77777777" w:rsidR="000578EF" w:rsidRPr="00EC50C0" w:rsidRDefault="000578EF" w:rsidP="000578EF">
      <w:pPr>
        <w:pStyle w:val="ListParagraph"/>
        <w:numPr>
          <w:ilvl w:val="2"/>
          <w:numId w:val="1"/>
        </w:numPr>
        <w:tabs>
          <w:tab w:val="left" w:pos="567"/>
        </w:tabs>
        <w:ind w:left="0" w:firstLine="0"/>
        <w:rPr>
          <w:rFonts w:cs="Arial"/>
        </w:rPr>
      </w:pPr>
      <w:r w:rsidRPr="00EC50C0">
        <w:t xml:space="preserve"> </w:t>
      </w:r>
      <w:r>
        <w:t>h</w:t>
      </w:r>
      <w:r w:rsidRPr="00EC50C0">
        <w:t>as the right and obligation to decide on the purposes and means of processing personal data;</w:t>
      </w:r>
    </w:p>
    <w:p w14:paraId="540683B4" w14:textId="77777777" w:rsidR="000578EF" w:rsidRPr="00EC50C0" w:rsidRDefault="000578EF" w:rsidP="000578EF">
      <w:pPr>
        <w:pStyle w:val="ListParagraph"/>
        <w:numPr>
          <w:ilvl w:val="2"/>
          <w:numId w:val="1"/>
        </w:numPr>
        <w:tabs>
          <w:tab w:val="left" w:pos="567"/>
        </w:tabs>
        <w:ind w:left="0" w:firstLine="0"/>
        <w:rPr>
          <w:rFonts w:cs="Arial"/>
        </w:rPr>
      </w:pPr>
      <w:r w:rsidRPr="00EC50C0">
        <w:t xml:space="preserve"> </w:t>
      </w:r>
      <w:r>
        <w:t>i</w:t>
      </w:r>
      <w:r w:rsidRPr="00EC50C0">
        <w:t>s responsible for, including, but not limited to, ensuring that the processing of personal data that the Processor is entrusted to carry out has a legal basis.</w:t>
      </w:r>
    </w:p>
    <w:p w14:paraId="18F76C08" w14:textId="77777777" w:rsidR="000578EF" w:rsidRPr="00EC50C0" w:rsidRDefault="000578EF" w:rsidP="000578EF">
      <w:pPr>
        <w:pStyle w:val="ListParagraph"/>
        <w:tabs>
          <w:tab w:val="left" w:pos="567"/>
        </w:tabs>
        <w:ind w:left="0"/>
        <w:rPr>
          <w:rFonts w:cs="Arial"/>
          <w:b/>
          <w:bCs/>
        </w:rPr>
      </w:pPr>
    </w:p>
    <w:p w14:paraId="66F82800" w14:textId="77777777" w:rsidR="000578EF" w:rsidRPr="00EC50C0" w:rsidRDefault="000578EF" w:rsidP="000578EF">
      <w:pPr>
        <w:pStyle w:val="ListParagraph"/>
        <w:numPr>
          <w:ilvl w:val="1"/>
          <w:numId w:val="1"/>
        </w:numPr>
        <w:tabs>
          <w:tab w:val="left" w:pos="567"/>
        </w:tabs>
        <w:ind w:left="0" w:firstLine="0"/>
        <w:rPr>
          <w:rFonts w:cs="Arial"/>
          <w:b/>
          <w:bCs/>
        </w:rPr>
      </w:pPr>
      <w:r w:rsidRPr="00EC50C0">
        <w:rPr>
          <w:b/>
        </w:rPr>
        <w:t>The Processor undertakes to:</w:t>
      </w:r>
    </w:p>
    <w:p w14:paraId="59237193" w14:textId="77777777" w:rsidR="000578EF" w:rsidRPr="00EC50C0" w:rsidRDefault="000578EF" w:rsidP="000578EF">
      <w:pPr>
        <w:pStyle w:val="ListParagraph"/>
        <w:numPr>
          <w:ilvl w:val="2"/>
          <w:numId w:val="1"/>
        </w:numPr>
        <w:tabs>
          <w:tab w:val="left" w:pos="567"/>
        </w:tabs>
        <w:ind w:left="0" w:firstLine="0"/>
        <w:rPr>
          <w:rFonts w:cs="Arial"/>
        </w:rPr>
      </w:pPr>
      <w:r w:rsidRPr="00EC50C0">
        <w:t xml:space="preserve"> </w:t>
      </w:r>
      <w:r>
        <w:t>p</w:t>
      </w:r>
      <w:r w:rsidRPr="00EC50C0">
        <w:t>rocess personal data only in accordance with the terms of this Agreement and on the basis of written instructions (including in electronic format) communicated to it by the Controller, unless required to do so by the legislation of the European Union or of the respective Member State to which the Processor is subject (in which case the Processor shall inform the Controller of such requirements, unless providing such information is prohibited by law for reasons of overriding public interest). The Controller’s primary instructions regarding the subject-matter, nature, purposes, procedures, as well as the categories of personal data subjects of the processing of personal data are set out in Annex 1 to the Agreement, Instructions for the Processing of Personal Data. A functional description of the activities performed by the Processor with personal data under the Controller’s control is provided in the Main Contract and related documentation. The Controller may also provide further instructions throughout the processing of the personal data, but such instructions in relation to the Agreement must always be documented.</w:t>
      </w:r>
    </w:p>
    <w:p w14:paraId="3FC8EB9F" w14:textId="77777777" w:rsidR="000578EF" w:rsidRPr="00EC50C0" w:rsidRDefault="000578EF" w:rsidP="000578EF">
      <w:pPr>
        <w:pStyle w:val="ListParagraph"/>
        <w:numPr>
          <w:ilvl w:val="2"/>
          <w:numId w:val="1"/>
        </w:numPr>
        <w:tabs>
          <w:tab w:val="left" w:pos="567"/>
        </w:tabs>
        <w:ind w:left="0" w:firstLine="0"/>
        <w:rPr>
          <w:rFonts w:cs="Arial"/>
        </w:rPr>
      </w:pPr>
      <w:r w:rsidRPr="00EC50C0">
        <w:t xml:space="preserve"> </w:t>
      </w:r>
      <w:r>
        <w:t>p</w:t>
      </w:r>
      <w:r w:rsidRPr="00EC50C0">
        <w:t>rocess personal data only to the extent and for the period necessary for the proper performance of the obligations under the Main Contract. The Processor shall not have the right to process personal data for any purposes other than those provided for in the Agreement and the Main Contract, unless such authorisation is expressly stated in a separate written instruction from the Controller.</w:t>
      </w:r>
    </w:p>
    <w:p w14:paraId="1A03F6B9" w14:textId="77777777" w:rsidR="000578EF" w:rsidRPr="00EC50C0" w:rsidRDefault="000578EF" w:rsidP="000578EF">
      <w:pPr>
        <w:pStyle w:val="ListParagraph"/>
        <w:numPr>
          <w:ilvl w:val="2"/>
          <w:numId w:val="1"/>
        </w:numPr>
        <w:tabs>
          <w:tab w:val="left" w:pos="567"/>
        </w:tabs>
        <w:ind w:left="0" w:firstLine="0"/>
        <w:rPr>
          <w:rFonts w:cs="Arial"/>
        </w:rPr>
      </w:pPr>
      <w:r w:rsidRPr="00EC50C0">
        <w:t xml:space="preserve"> </w:t>
      </w:r>
      <w:r>
        <w:t>e</w:t>
      </w:r>
      <w:r w:rsidRPr="00EC50C0">
        <w:t>nsure that the processing of personal data in accordance with the Agreement complies with the Personal Data Protection Legislation and the recommendations of supervisory authorities. The Processor agrees to any future amendments to the Agreement that will be required to implement mandatory changed requirements of the Personal Data Protection Legislation.</w:t>
      </w:r>
    </w:p>
    <w:p w14:paraId="251CE762" w14:textId="77777777" w:rsidR="000578EF" w:rsidRPr="00EC50C0" w:rsidRDefault="000578EF" w:rsidP="000578EF">
      <w:pPr>
        <w:pStyle w:val="ListParagraph"/>
        <w:numPr>
          <w:ilvl w:val="2"/>
          <w:numId w:val="1"/>
        </w:numPr>
        <w:tabs>
          <w:tab w:val="left" w:pos="567"/>
        </w:tabs>
        <w:ind w:left="0" w:firstLine="0"/>
        <w:rPr>
          <w:rFonts w:cs="Arial"/>
        </w:rPr>
      </w:pPr>
      <w:r>
        <w:t>m</w:t>
      </w:r>
      <w:r w:rsidRPr="00EC50C0">
        <w:t>aintain records related to personal data processing activities carried out on behalf of the Controller. This obligation shall apply to each Processor and, where applicable, the Processor’s representative pursuant to Article 30(2) of the GDPR.</w:t>
      </w:r>
    </w:p>
    <w:p w14:paraId="60E55BB6" w14:textId="77777777" w:rsidR="000578EF" w:rsidRPr="00EC50C0" w:rsidRDefault="000578EF" w:rsidP="000578EF">
      <w:pPr>
        <w:pStyle w:val="ListParagraph"/>
        <w:numPr>
          <w:ilvl w:val="2"/>
          <w:numId w:val="1"/>
        </w:numPr>
        <w:tabs>
          <w:tab w:val="left" w:pos="567"/>
        </w:tabs>
        <w:ind w:left="0" w:firstLine="0"/>
        <w:rPr>
          <w:rFonts w:cs="Arial"/>
        </w:rPr>
      </w:pPr>
      <w:r w:rsidRPr="00EC50C0">
        <w:t xml:space="preserve"> </w:t>
      </w:r>
      <w:r>
        <w:t>i</w:t>
      </w:r>
      <w:r w:rsidRPr="00EC50C0">
        <w:t>mmediately inform the Controller if, in the opinion of the Processor, the instructions of the Controller conflict with the Personal Data Protection Legislation.</w:t>
      </w:r>
    </w:p>
    <w:p w14:paraId="59FC4F66" w14:textId="77777777" w:rsidR="000578EF" w:rsidRPr="00EC50C0" w:rsidRDefault="000578EF" w:rsidP="000578EF">
      <w:pPr>
        <w:pStyle w:val="ListParagraph"/>
        <w:numPr>
          <w:ilvl w:val="1"/>
          <w:numId w:val="1"/>
        </w:numPr>
        <w:tabs>
          <w:tab w:val="left" w:pos="567"/>
        </w:tabs>
        <w:ind w:left="0" w:firstLine="0"/>
        <w:rPr>
          <w:rFonts w:cs="Arial"/>
        </w:rPr>
      </w:pPr>
      <w:r w:rsidRPr="00EC50C0">
        <w:t>Taking into account the nature of the personal data processing and the information available to the Processor, the Processor undertakes, without undue delay, to help the Controller:</w:t>
      </w:r>
    </w:p>
    <w:p w14:paraId="3F7EE6AE" w14:textId="77777777" w:rsidR="000578EF" w:rsidRPr="00EC50C0" w:rsidRDefault="000578EF" w:rsidP="000578EF">
      <w:pPr>
        <w:pStyle w:val="ListParagraph"/>
        <w:numPr>
          <w:ilvl w:val="2"/>
          <w:numId w:val="1"/>
        </w:numPr>
        <w:ind w:left="0" w:firstLine="11"/>
        <w:rPr>
          <w:rFonts w:cs="Arial"/>
        </w:rPr>
      </w:pPr>
      <w:r>
        <w:t>t</w:t>
      </w:r>
      <w:r w:rsidRPr="00EC50C0">
        <w:t>o ensure the implementation of the obligations set out in Articles 32 to 36 of the GDPR;</w:t>
      </w:r>
    </w:p>
    <w:p w14:paraId="026466E6" w14:textId="77777777" w:rsidR="000578EF" w:rsidRPr="00EC50C0" w:rsidRDefault="000578EF" w:rsidP="000578EF">
      <w:pPr>
        <w:pStyle w:val="ListParagraph"/>
        <w:numPr>
          <w:ilvl w:val="2"/>
          <w:numId w:val="1"/>
        </w:numPr>
        <w:ind w:left="0" w:firstLine="11"/>
        <w:rPr>
          <w:rFonts w:cs="Arial"/>
        </w:rPr>
      </w:pPr>
      <w:r>
        <w:t>t</w:t>
      </w:r>
      <w:r w:rsidRPr="00EC50C0">
        <w:t>o ensure the enforcement of the rights of data subjects under the Personal Data Protection Legislation by applying appropriate technical and organisational security measures;</w:t>
      </w:r>
    </w:p>
    <w:p w14:paraId="60CC362E" w14:textId="77777777" w:rsidR="000578EF" w:rsidRPr="00EC50C0" w:rsidRDefault="000578EF" w:rsidP="000578EF">
      <w:pPr>
        <w:pStyle w:val="ListParagraph"/>
        <w:numPr>
          <w:ilvl w:val="2"/>
          <w:numId w:val="1"/>
        </w:numPr>
        <w:ind w:left="0" w:firstLine="11"/>
        <w:rPr>
          <w:rFonts w:cs="Arial"/>
        </w:rPr>
      </w:pPr>
      <w:r>
        <w:t>t</w:t>
      </w:r>
      <w:r w:rsidRPr="00EC50C0">
        <w:t>o provide evidence of the proper performance of the Processor’s duties, if the Controller specifically requests it in writing.</w:t>
      </w:r>
    </w:p>
    <w:p w14:paraId="15477E7F" w14:textId="77777777" w:rsidR="000578EF" w:rsidRPr="00EC50C0" w:rsidRDefault="000578EF" w:rsidP="000578EF">
      <w:pPr>
        <w:pStyle w:val="ListParagraph"/>
        <w:numPr>
          <w:ilvl w:val="1"/>
          <w:numId w:val="1"/>
        </w:numPr>
        <w:tabs>
          <w:tab w:val="left" w:pos="567"/>
        </w:tabs>
        <w:ind w:left="0" w:firstLine="0"/>
        <w:rPr>
          <w:rFonts w:cs="Arial"/>
        </w:rPr>
      </w:pPr>
      <w:r w:rsidRPr="00EC50C0">
        <w:t>If a data subject, a supervisory or other public authority or any other third party contacts the Processor with a request for personal data processed under this Agreement, the Processor undertakes to transmit such a request to the Controller without delay.</w:t>
      </w:r>
    </w:p>
    <w:p w14:paraId="72CC9B4F" w14:textId="77777777" w:rsidR="000578EF" w:rsidRPr="00EC50C0" w:rsidRDefault="000578EF" w:rsidP="000578EF">
      <w:pPr>
        <w:pStyle w:val="ListParagraph"/>
        <w:numPr>
          <w:ilvl w:val="1"/>
          <w:numId w:val="1"/>
        </w:numPr>
        <w:tabs>
          <w:tab w:val="left" w:pos="567"/>
        </w:tabs>
        <w:ind w:left="0" w:firstLine="0"/>
        <w:rPr>
          <w:rFonts w:cs="Arial"/>
        </w:rPr>
      </w:pPr>
      <w:r w:rsidRPr="00EC50C0">
        <w:t>The Processor undertakes not to take any action that would oblige the Controller to act in a manner inconsistent with the requirements of the Personal Data Protection Legislation.</w:t>
      </w:r>
    </w:p>
    <w:p w14:paraId="2E6F295A"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shall not transfer or otherwise disclose personal data or other information relating to the processing of personal data to any other third party. The Processor undertakes to notify the Controller without delay of situations in which, in order to comply with its obligations under </w:t>
      </w:r>
      <w:r w:rsidRPr="00EC50C0">
        <w:lastRenderedPageBreak/>
        <w:t>the Personal Data Protection Legislation, the Processor is obliged to disclose the personal data which it processes on behalf of the Controller. When disclosing personal data in order to comply with an obligation imposed by law or regulation, the Processor must require the third party to maintain the confidentiality of the personal data.</w:t>
      </w:r>
    </w:p>
    <w:p w14:paraId="79921AB6" w14:textId="77777777" w:rsidR="000578EF" w:rsidRPr="00EC50C0" w:rsidRDefault="000578EF" w:rsidP="000578EF">
      <w:pPr>
        <w:pStyle w:val="ListParagraph"/>
        <w:numPr>
          <w:ilvl w:val="1"/>
          <w:numId w:val="1"/>
        </w:numPr>
        <w:tabs>
          <w:tab w:val="left" w:pos="567"/>
        </w:tabs>
        <w:ind w:left="0" w:firstLine="0"/>
        <w:rPr>
          <w:rFonts w:cs="Arial"/>
        </w:rPr>
      </w:pPr>
      <w:r w:rsidRPr="00EC50C0">
        <w:t>This Agreement shall not relieve the Parties of any other obligations to which they are subject under the GDPR or other legislation.</w:t>
      </w:r>
    </w:p>
    <w:p w14:paraId="7517C115" w14:textId="77777777" w:rsidR="000578EF" w:rsidRPr="00EC50C0" w:rsidRDefault="000578EF" w:rsidP="000578EF">
      <w:pPr>
        <w:pStyle w:val="ListParagraph"/>
        <w:tabs>
          <w:tab w:val="left" w:pos="567"/>
        </w:tabs>
        <w:ind w:left="0"/>
        <w:rPr>
          <w:rFonts w:cs="Arial"/>
        </w:rPr>
      </w:pPr>
    </w:p>
    <w:p w14:paraId="2B574455" w14:textId="77777777" w:rsidR="000578EF" w:rsidRPr="00EC50C0" w:rsidRDefault="000578EF" w:rsidP="000578EF">
      <w:pPr>
        <w:pStyle w:val="ListParagraph"/>
        <w:numPr>
          <w:ilvl w:val="0"/>
          <w:numId w:val="1"/>
        </w:numPr>
        <w:ind w:left="426" w:hanging="426"/>
        <w:rPr>
          <w:rFonts w:cs="Arial"/>
          <w:b/>
        </w:rPr>
      </w:pPr>
      <w:r w:rsidRPr="00EC50C0">
        <w:rPr>
          <w:b/>
        </w:rPr>
        <w:t>Information Security and Confidentiality</w:t>
      </w:r>
    </w:p>
    <w:p w14:paraId="4DE5348A" w14:textId="77777777" w:rsidR="000578EF" w:rsidRPr="00EC50C0" w:rsidRDefault="000578EF" w:rsidP="000578EF">
      <w:pPr>
        <w:contextualSpacing/>
        <w:rPr>
          <w:rFonts w:cs="Arial"/>
          <w:b/>
        </w:rPr>
      </w:pPr>
    </w:p>
    <w:p w14:paraId="6D1D6CCB"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In accordance with Article 32 of the GDPR, the Controller and the Processor, taking into account the state of the art, the costs of implementation and the nature, scope, context and purposes of personal data processing as well as the risk of varying likelihood and severity for the rights and freedoms of natural persons, shall implement appropriate technical and organisational measures to ensure a level of security appropriate to the risk. </w:t>
      </w:r>
    </w:p>
    <w:p w14:paraId="1CE39FB5" w14:textId="77777777" w:rsidR="000578EF" w:rsidRPr="00EC50C0" w:rsidRDefault="000578EF" w:rsidP="000578EF">
      <w:pPr>
        <w:pStyle w:val="ListParagraph"/>
        <w:numPr>
          <w:ilvl w:val="1"/>
          <w:numId w:val="1"/>
        </w:numPr>
        <w:tabs>
          <w:tab w:val="left" w:pos="567"/>
        </w:tabs>
        <w:ind w:left="0" w:firstLine="0"/>
        <w:rPr>
          <w:rFonts w:cs="Arial"/>
        </w:rPr>
      </w:pPr>
      <w:r w:rsidRPr="00EC50C0">
        <w:t>The Processor undertakes to comply with all written security requirements and policies provided by the Controller. The Processor undertakes to protect personal data against destruction, alteration, unauthorised dissemination or unauthorised access, and against all forms of unlawful processing.</w:t>
      </w:r>
    </w:p>
    <w:p w14:paraId="6372B540" w14:textId="77777777" w:rsidR="000578EF" w:rsidRPr="00EC50C0" w:rsidRDefault="000578EF" w:rsidP="000578EF">
      <w:pPr>
        <w:pStyle w:val="ListParagraph"/>
        <w:numPr>
          <w:ilvl w:val="1"/>
          <w:numId w:val="1"/>
        </w:numPr>
        <w:tabs>
          <w:tab w:val="left" w:pos="567"/>
        </w:tabs>
        <w:ind w:left="0" w:firstLine="0"/>
        <w:rPr>
          <w:rFonts w:cs="Arial"/>
        </w:rPr>
      </w:pPr>
      <w:r w:rsidRPr="00EC50C0">
        <w:t>The Controller shall assess the risks to the rights and freedoms of natural persons arising from the processing of personal data and implement measures to mitigate those risks. Depending on their appropriateness, such measures may include:</w:t>
      </w:r>
    </w:p>
    <w:p w14:paraId="42A03191" w14:textId="77777777" w:rsidR="000578EF" w:rsidRPr="00EC50C0" w:rsidRDefault="000578EF" w:rsidP="000578EF">
      <w:pPr>
        <w:pStyle w:val="ListParagraph"/>
        <w:numPr>
          <w:ilvl w:val="2"/>
          <w:numId w:val="1"/>
        </w:numPr>
        <w:ind w:left="709" w:hanging="709"/>
        <w:rPr>
          <w:rFonts w:cs="Arial"/>
        </w:rPr>
      </w:pPr>
      <w:r>
        <w:t>t</w:t>
      </w:r>
      <w:r w:rsidRPr="00EC50C0">
        <w:t>he pseudonymisation and/or encryption of personal data;</w:t>
      </w:r>
    </w:p>
    <w:p w14:paraId="169A4EEF" w14:textId="77777777" w:rsidR="000578EF" w:rsidRPr="00EC50C0" w:rsidRDefault="000578EF" w:rsidP="000578EF">
      <w:pPr>
        <w:pStyle w:val="ListParagraph"/>
        <w:numPr>
          <w:ilvl w:val="2"/>
          <w:numId w:val="1"/>
        </w:numPr>
        <w:ind w:left="0" w:firstLine="11"/>
        <w:rPr>
          <w:rFonts w:cs="Arial"/>
        </w:rPr>
      </w:pPr>
      <w:r>
        <w:t>t</w:t>
      </w:r>
      <w:r w:rsidRPr="00EC50C0">
        <w:t>he ability to ensure the ongoing confidentiality, integrity, availability and resilience of processing systems and services;</w:t>
      </w:r>
    </w:p>
    <w:p w14:paraId="38D2F6B3" w14:textId="77777777" w:rsidR="000578EF" w:rsidRPr="00EC50C0" w:rsidRDefault="000578EF" w:rsidP="000578EF">
      <w:pPr>
        <w:pStyle w:val="ListParagraph"/>
        <w:numPr>
          <w:ilvl w:val="2"/>
          <w:numId w:val="1"/>
        </w:numPr>
        <w:ind w:left="0" w:firstLine="11"/>
        <w:rPr>
          <w:rFonts w:cs="Arial"/>
        </w:rPr>
      </w:pPr>
      <w:r>
        <w:t>t</w:t>
      </w:r>
      <w:r w:rsidRPr="00EC50C0">
        <w:t>he ability to restore the availability and access to personal data in a timely manner in the event of a physical or technical incident;</w:t>
      </w:r>
    </w:p>
    <w:p w14:paraId="104EFCA2" w14:textId="77777777" w:rsidR="000578EF" w:rsidRPr="00EC50C0" w:rsidRDefault="000578EF" w:rsidP="000578EF">
      <w:pPr>
        <w:pStyle w:val="ListParagraph"/>
        <w:numPr>
          <w:ilvl w:val="2"/>
          <w:numId w:val="1"/>
        </w:numPr>
        <w:ind w:left="0" w:firstLine="11"/>
        <w:rPr>
          <w:rFonts w:cs="Arial"/>
        </w:rPr>
      </w:pPr>
      <w:r>
        <w:t>a</w:t>
      </w:r>
      <w:r w:rsidRPr="00EC50C0">
        <w:t xml:space="preserve"> process for regularly testing, assessing and evaluating the effectiveness of technical and organisational measures for ensuring the security of the processing.</w:t>
      </w:r>
    </w:p>
    <w:p w14:paraId="413E90E4" w14:textId="77777777" w:rsidR="000578EF" w:rsidRPr="00EC50C0" w:rsidRDefault="000578EF" w:rsidP="000578EF">
      <w:pPr>
        <w:pStyle w:val="ListParagraph"/>
        <w:numPr>
          <w:ilvl w:val="1"/>
          <w:numId w:val="1"/>
        </w:numPr>
        <w:tabs>
          <w:tab w:val="left" w:pos="567"/>
        </w:tabs>
        <w:ind w:left="0" w:firstLine="0"/>
        <w:rPr>
          <w:rFonts w:cs="Arial"/>
        </w:rPr>
      </w:pPr>
      <w:r w:rsidRPr="00EC50C0">
        <w:t>Pursuant to Article 32 of the GDPR, the Processor, independently of the Controller, shall also assess the risks to the rights and freedoms of natural persons arising from the processing of personal data in connection with the processing activities for which the Processor has been engaged by the Controller, and shall implement measures to mitigate those risks. For this purpose, the Controller shall provide the Processor with all the information necessary to identify and assess such risks.</w:t>
      </w:r>
    </w:p>
    <w:p w14:paraId="184963F5"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In addition, the Processor shall assist the Controller in ensuring compliance with the Controller’s obligations under Article 32 of the GDPR by, </w:t>
      </w:r>
      <w:r w:rsidRPr="00EC50C0">
        <w:rPr>
          <w:i/>
          <w:iCs/>
        </w:rPr>
        <w:t>inter alia</w:t>
      </w:r>
      <w:r w:rsidRPr="00EC50C0">
        <w:t>, providing the Controller with information on the technical and organisational measures already implemented by the Processor in accordance with Article 32 of the GDPR, together with any other information necessary for the Controller to comply with the Controller’s obligations under Article 32 of the GDPR.</w:t>
      </w:r>
    </w:p>
    <w:p w14:paraId="528C5B69" w14:textId="77777777" w:rsidR="000578EF" w:rsidRPr="00EC50C0" w:rsidRDefault="000578EF" w:rsidP="000578EF">
      <w:pPr>
        <w:pStyle w:val="ListParagraph"/>
        <w:numPr>
          <w:ilvl w:val="1"/>
          <w:numId w:val="1"/>
        </w:numPr>
        <w:tabs>
          <w:tab w:val="left" w:pos="567"/>
        </w:tabs>
        <w:ind w:left="0" w:firstLine="0"/>
        <w:rPr>
          <w:rFonts w:cs="Arial"/>
        </w:rPr>
      </w:pPr>
      <w:r w:rsidRPr="00EC50C0">
        <w:t>The Processor undertakes to ensure that, when processing personal data, it will apply technical and organisational measures set out in Annex 3 to the Agreement, Technical and Organisational Security Measures, at a level at least as high as recommended.</w:t>
      </w:r>
    </w:p>
    <w:p w14:paraId="6D9BA7D4"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undertakes to take all steps to assist the Controller in the event of a personal data breach in order to mitigate the negative consequences of the breach, including immediately notifying the Controller of any incident involving personal data and of unauthorised access to personal data, in accordance with clauses 7.1 to 7.7 of this Agreement. </w:t>
      </w:r>
    </w:p>
    <w:p w14:paraId="0782644F" w14:textId="77777777" w:rsidR="000578EF" w:rsidRPr="00EC50C0" w:rsidRDefault="000578EF" w:rsidP="000578EF">
      <w:pPr>
        <w:pStyle w:val="ListParagraph"/>
        <w:numPr>
          <w:ilvl w:val="1"/>
          <w:numId w:val="1"/>
        </w:numPr>
        <w:tabs>
          <w:tab w:val="left" w:pos="567"/>
        </w:tabs>
        <w:ind w:left="0" w:firstLine="0"/>
        <w:rPr>
          <w:rFonts w:cs="Arial"/>
        </w:rPr>
      </w:pPr>
      <w:r w:rsidRPr="00EC50C0">
        <w:t>The Processor undertakes to ensure the confidentiality of personal data and that the Processor’s employees who have access to personal data:</w:t>
      </w:r>
    </w:p>
    <w:p w14:paraId="304EDA94" w14:textId="77777777" w:rsidR="000578EF" w:rsidRPr="00EC50C0" w:rsidRDefault="000578EF" w:rsidP="000578EF">
      <w:pPr>
        <w:pStyle w:val="ListParagraph"/>
        <w:numPr>
          <w:ilvl w:val="2"/>
          <w:numId w:val="1"/>
        </w:numPr>
        <w:ind w:left="0" w:firstLine="11"/>
        <w:rPr>
          <w:rFonts w:cs="Arial"/>
        </w:rPr>
      </w:pPr>
      <w:r>
        <w:t>a</w:t>
      </w:r>
      <w:r w:rsidRPr="00EC50C0">
        <w:t>re adequately trained to comply with the Personal Data Protection Legislation and the requirements set out in this Agreement;</w:t>
      </w:r>
    </w:p>
    <w:p w14:paraId="5C243C3A" w14:textId="77777777" w:rsidR="000578EF" w:rsidRPr="00EC50C0" w:rsidRDefault="000578EF" w:rsidP="000578EF">
      <w:pPr>
        <w:pStyle w:val="ListParagraph"/>
        <w:numPr>
          <w:ilvl w:val="2"/>
          <w:numId w:val="1"/>
        </w:numPr>
        <w:ind w:left="0" w:firstLine="11"/>
        <w:rPr>
          <w:rFonts w:cs="Arial"/>
        </w:rPr>
      </w:pPr>
      <w:r>
        <w:t>p</w:t>
      </w:r>
      <w:r w:rsidRPr="00EC50C0">
        <w:t>roperly comply with the requirements of this Agreement and the Personal Data Protection Legislation;</w:t>
      </w:r>
    </w:p>
    <w:p w14:paraId="75275C73" w14:textId="77777777" w:rsidR="000578EF" w:rsidRPr="00EC50C0" w:rsidRDefault="000578EF" w:rsidP="000578EF">
      <w:pPr>
        <w:pStyle w:val="ListParagraph"/>
        <w:numPr>
          <w:ilvl w:val="2"/>
          <w:numId w:val="1"/>
        </w:numPr>
        <w:ind w:left="0" w:firstLine="11"/>
        <w:rPr>
          <w:rFonts w:cs="Arial"/>
        </w:rPr>
      </w:pPr>
      <w:r>
        <w:t>a</w:t>
      </w:r>
      <w:r w:rsidRPr="00EC50C0">
        <w:t>re informed of the obligation to keep personal data confidential; and</w:t>
      </w:r>
    </w:p>
    <w:p w14:paraId="0212B0C0" w14:textId="77777777" w:rsidR="000578EF" w:rsidRPr="00EC50C0" w:rsidRDefault="000578EF" w:rsidP="000578EF">
      <w:pPr>
        <w:pStyle w:val="ListParagraph"/>
        <w:numPr>
          <w:ilvl w:val="2"/>
          <w:numId w:val="1"/>
        </w:numPr>
        <w:ind w:left="0" w:firstLine="11"/>
        <w:rPr>
          <w:rFonts w:cs="Arial"/>
        </w:rPr>
      </w:pPr>
      <w:r>
        <w:t>w</w:t>
      </w:r>
      <w:r w:rsidRPr="00EC50C0">
        <w:t>ould be bound by an obligation of confidentiality under the Agreement or subject to an obligation of confidentiality under the relevant legislation;</w:t>
      </w:r>
    </w:p>
    <w:p w14:paraId="22136ABA" w14:textId="77777777" w:rsidR="000578EF" w:rsidRPr="00EC50C0" w:rsidRDefault="000578EF" w:rsidP="000578EF">
      <w:pPr>
        <w:pStyle w:val="ListParagraph"/>
        <w:numPr>
          <w:ilvl w:val="2"/>
          <w:numId w:val="1"/>
        </w:numPr>
        <w:ind w:left="0" w:firstLine="11"/>
        <w:rPr>
          <w:rFonts w:cs="Arial"/>
        </w:rPr>
      </w:pPr>
      <w:r>
        <w:lastRenderedPageBreak/>
        <w:t>a</w:t>
      </w:r>
      <w:r w:rsidRPr="00EC50C0">
        <w:t xml:space="preserve">re granted access rights to personal data only if they need access to them for the performance of their tasks. </w:t>
      </w:r>
    </w:p>
    <w:p w14:paraId="5DF22528"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undertakes that access to personal data shall be strictly limited to those employees of the Processor for whom access is necessary to ensure the performance of the Processor's obligations under this Agreement and the Main Contract. </w:t>
      </w:r>
    </w:p>
    <w:p w14:paraId="2D885A3B" w14:textId="77777777" w:rsidR="000578EF" w:rsidRPr="00EC50C0" w:rsidRDefault="000578EF" w:rsidP="000578EF">
      <w:pPr>
        <w:pStyle w:val="ListParagraph"/>
        <w:numPr>
          <w:ilvl w:val="1"/>
          <w:numId w:val="1"/>
        </w:numPr>
        <w:tabs>
          <w:tab w:val="left" w:pos="567"/>
        </w:tabs>
        <w:ind w:left="0" w:firstLine="0"/>
        <w:rPr>
          <w:rFonts w:cs="Arial"/>
        </w:rPr>
      </w:pPr>
      <w:r w:rsidRPr="00EC50C0">
        <w:t>In the event of a change in the persons who process personal data, their access rights to the personal data managed by the Controller shall be revoked no later than on the last day of their tasks which require the persons to have access to the personal data entrusted to the Processor for the processing of the personal data managed by the Controller, and in the event of termination of the employment of the Processor’s employee, the access rights shall be revoked no later than on the employee’s last day of work.</w:t>
      </w:r>
    </w:p>
    <w:p w14:paraId="62FA5615" w14:textId="77777777" w:rsidR="000578EF" w:rsidRPr="00EC50C0" w:rsidRDefault="000578EF" w:rsidP="000578EF">
      <w:pPr>
        <w:pStyle w:val="ListParagraph"/>
        <w:numPr>
          <w:ilvl w:val="1"/>
          <w:numId w:val="1"/>
        </w:numPr>
        <w:tabs>
          <w:tab w:val="left" w:pos="567"/>
        </w:tabs>
        <w:ind w:left="0" w:firstLine="0"/>
        <w:rPr>
          <w:rFonts w:cs="Arial"/>
        </w:rPr>
      </w:pPr>
      <w:r w:rsidRPr="00EC50C0">
        <w:t>The list of persons who have been granted access to personal data must be reviewed periodically, but at least once every 6 months. In accordance with this review, access to personal data shall be revoked if such access is no longer necessary; therefore, personal data will no longer be accessible to those persons.</w:t>
      </w:r>
    </w:p>
    <w:p w14:paraId="38C55CDD" w14:textId="77777777" w:rsidR="000578EF" w:rsidRPr="00EC50C0" w:rsidRDefault="000578EF" w:rsidP="000578EF">
      <w:pPr>
        <w:pStyle w:val="ListParagraph"/>
        <w:numPr>
          <w:ilvl w:val="1"/>
          <w:numId w:val="1"/>
        </w:numPr>
        <w:tabs>
          <w:tab w:val="left" w:pos="567"/>
        </w:tabs>
        <w:ind w:left="0" w:firstLine="0"/>
        <w:rPr>
          <w:rFonts w:cs="Arial"/>
        </w:rPr>
      </w:pPr>
      <w:r w:rsidRPr="00EC50C0">
        <w:t>The Processor shall demonstrate, at the request of the Controller, that the persons under the authority of the Processor who are entrusted with the processing of personal data are subject to the confidentiality obligation referred to in clause 3.8.</w:t>
      </w:r>
    </w:p>
    <w:p w14:paraId="06886015" w14:textId="77777777" w:rsidR="000578EF" w:rsidRPr="00EC50C0" w:rsidRDefault="000578EF" w:rsidP="000578EF">
      <w:pPr>
        <w:pStyle w:val="ListParagraph"/>
        <w:tabs>
          <w:tab w:val="left" w:pos="567"/>
        </w:tabs>
        <w:ind w:left="0"/>
        <w:rPr>
          <w:rFonts w:cs="Arial"/>
          <w:highlight w:val="yellow"/>
        </w:rPr>
      </w:pPr>
    </w:p>
    <w:p w14:paraId="38DAB848" w14:textId="77777777" w:rsidR="000578EF" w:rsidRPr="00EC50C0" w:rsidRDefault="000578EF" w:rsidP="000578EF">
      <w:pPr>
        <w:pStyle w:val="ListParagraph"/>
        <w:numPr>
          <w:ilvl w:val="0"/>
          <w:numId w:val="1"/>
        </w:numPr>
        <w:ind w:left="426" w:hanging="426"/>
        <w:rPr>
          <w:rFonts w:cs="Arial"/>
          <w:b/>
        </w:rPr>
      </w:pPr>
      <w:r>
        <w:rPr>
          <w:b/>
        </w:rPr>
        <w:t>Sub-p</w:t>
      </w:r>
      <w:r w:rsidRPr="00EC50C0">
        <w:rPr>
          <w:b/>
        </w:rPr>
        <w:t xml:space="preserve">rocessors of Personal Data </w:t>
      </w:r>
    </w:p>
    <w:p w14:paraId="39DC73E7" w14:textId="77777777" w:rsidR="000578EF" w:rsidRPr="00EC50C0" w:rsidRDefault="000578EF" w:rsidP="000578EF">
      <w:pPr>
        <w:pStyle w:val="ListParagraph"/>
        <w:ind w:left="426"/>
        <w:rPr>
          <w:rFonts w:cs="Arial"/>
          <w:b/>
        </w:rPr>
      </w:pPr>
    </w:p>
    <w:p w14:paraId="59574546"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must comply with the requirements set out in Article 28(2) and (4) of the GDPR in order to be able to engage </w:t>
      </w:r>
      <w:r>
        <w:t>Sub-p</w:t>
      </w:r>
      <w:r w:rsidRPr="00EC50C0">
        <w:t>rocessor.</w:t>
      </w:r>
    </w:p>
    <w:p w14:paraId="04097EE7"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Controller shall grant the Processor permission to use </w:t>
      </w:r>
      <w:r>
        <w:t>Sub-p</w:t>
      </w:r>
      <w:r w:rsidRPr="00EC50C0">
        <w:t xml:space="preserve">rocessor(s) listed in Annex 2 to the Agreement, List of </w:t>
      </w:r>
      <w:r>
        <w:t>Sub-p</w:t>
      </w:r>
      <w:r w:rsidRPr="00EC50C0">
        <w:t xml:space="preserve">rocessors Engaged by the Processor. </w:t>
      </w:r>
    </w:p>
    <w:p w14:paraId="7B5609AE"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shall not use </w:t>
      </w:r>
      <w:r>
        <w:t>Sub-p</w:t>
      </w:r>
      <w:r w:rsidRPr="00EC50C0">
        <w:t xml:space="preserve">rocessor without the prior specific written authorisation of the Controller. </w:t>
      </w:r>
    </w:p>
    <w:p w14:paraId="2EBE4708"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Before engaging a new </w:t>
      </w:r>
      <w:r>
        <w:t>Sub-p</w:t>
      </w:r>
      <w:r w:rsidRPr="00EC50C0">
        <w:t xml:space="preserve">rocessor or replacing an existing </w:t>
      </w:r>
      <w:r>
        <w:t>Sub-p</w:t>
      </w:r>
      <w:r w:rsidRPr="00EC50C0">
        <w:t xml:space="preserve">rocessor, the Processor shall inform the Controller in writing in advance (by email to </w:t>
      </w:r>
      <w:hyperlink r:id="rId7">
        <w:r w:rsidRPr="00EC50C0">
          <w:rPr>
            <w:rStyle w:val="Hyperlink"/>
          </w:rPr>
          <w:t>dap@ltg.lt</w:t>
        </w:r>
      </w:hyperlink>
      <w:r w:rsidRPr="00EC50C0">
        <w:t xml:space="preserve">), providing the details of the </w:t>
      </w:r>
      <w:r>
        <w:t>Sub-p</w:t>
      </w:r>
      <w:r w:rsidRPr="00EC50C0">
        <w:t xml:space="preserve">rocessor and any other information relating to the personal data processing activities that the Controller will request. During the period of notice of the </w:t>
      </w:r>
      <w:r>
        <w:t>Sub-p</w:t>
      </w:r>
      <w:r w:rsidRPr="00EC50C0">
        <w:t xml:space="preserve">rocessor to be engaged, the Controller shall notify the Processor if it objects to the processing of personal data under its control by the new </w:t>
      </w:r>
      <w:r>
        <w:t>Sub-p</w:t>
      </w:r>
      <w:r w:rsidRPr="00EC50C0">
        <w:t xml:space="preserve">rocessor. If the Controller does not object within the period of notice of the engagement of the new </w:t>
      </w:r>
      <w:r>
        <w:t>Sub-p</w:t>
      </w:r>
      <w:r w:rsidRPr="00EC50C0">
        <w:t xml:space="preserve">rocessor, the Controller shall be deemed to have consented to the processing of the personal data under its control by the new </w:t>
      </w:r>
      <w:r>
        <w:t>Sub-p</w:t>
      </w:r>
      <w:r w:rsidRPr="00EC50C0">
        <w:t xml:space="preserve">rocessor. If the Controller reasonably objects to the use of a particular </w:t>
      </w:r>
      <w:r>
        <w:t>Sub-p</w:t>
      </w:r>
      <w:r w:rsidRPr="00EC50C0">
        <w:t xml:space="preserve">rocessor, the Parties shall negotiate on a mutually satisfactory solution and the conditions for further performance of the Agreement. If the Parties fail to reach an agreement within 30 (thirty) calendar days after the written objection of the Controller to the use of a particular </w:t>
      </w:r>
      <w:r>
        <w:t>Sub-p</w:t>
      </w:r>
      <w:r w:rsidRPr="00EC50C0">
        <w:t>rocessor, the Controller shall have the right to unilaterally terminate the Main Contract without incurring any additional loss.</w:t>
      </w:r>
    </w:p>
    <w:p w14:paraId="54B7CA42"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undertakes to use only those </w:t>
      </w:r>
      <w:r>
        <w:t>Sub-p</w:t>
      </w:r>
      <w:r w:rsidRPr="00EC50C0">
        <w:t>rocessors that provide sufficient guarantees that appropriate technical and organisational measures will be implemented in such a way that the processing of personal data complies with the requirements of the Personal Data Protection Legislation and that the protection of the rights of the data subjects is ensured.</w:t>
      </w:r>
    </w:p>
    <w:p w14:paraId="29D72357"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undertakes to ensure that the Controller will only engage the </w:t>
      </w:r>
      <w:r>
        <w:t>Sub-p</w:t>
      </w:r>
      <w:r w:rsidRPr="00EC50C0">
        <w:t xml:space="preserve">rocessor for specific personal data processing activities after entering into a written contract with the </w:t>
      </w:r>
      <w:r>
        <w:t>Sub-p</w:t>
      </w:r>
      <w:r w:rsidRPr="00EC50C0">
        <w:t xml:space="preserve">rocessor that contains requirements that are equivalent to, or more stringent than, those set out in this Agreement. The Processor shall provide copies of these contracts to the Controller upon written request. Before starting to process personal data, the Processor shall inform the </w:t>
      </w:r>
      <w:r>
        <w:t>Sub-p</w:t>
      </w:r>
      <w:r w:rsidRPr="00EC50C0">
        <w:t>rocessor of the Controller whose personal data it is engaged to process, indicating the identity and contact details of the Controller.</w:t>
      </w:r>
    </w:p>
    <w:p w14:paraId="3D738085"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A copy of the Agreement with the </w:t>
      </w:r>
      <w:r>
        <w:t>Sub-p</w:t>
      </w:r>
      <w:r w:rsidRPr="00EC50C0">
        <w:t xml:space="preserve">rocessor and any subsequent amendments thereto shall be made available to the Controller at the request of the Controller, thereby enabling the Controller to ensure that the </w:t>
      </w:r>
      <w:r>
        <w:t>Sub-p</w:t>
      </w:r>
      <w:r w:rsidRPr="00EC50C0">
        <w:t xml:space="preserve">rocessor is subject to the same personal data protection obligations as set out in the Agreement. The Processor shall inform the Controller of any failure by </w:t>
      </w:r>
      <w:r w:rsidRPr="00EC50C0">
        <w:lastRenderedPageBreak/>
        <w:t xml:space="preserve">the </w:t>
      </w:r>
      <w:r>
        <w:t>Sub-p</w:t>
      </w:r>
      <w:r w:rsidRPr="00EC50C0">
        <w:t xml:space="preserve">rocessor to comply with its obligations under such a contract or any other legal act. The Controller shall not be obliged to provide business-related provisions of the personal data processing agreement which do not affect the legal personal data protection terms of the contract concluded with the </w:t>
      </w:r>
      <w:r>
        <w:t>Sub-p</w:t>
      </w:r>
      <w:r w:rsidRPr="00EC50C0">
        <w:t>rocessor.</w:t>
      </w:r>
    </w:p>
    <w:p w14:paraId="131645D6"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shall agree with the </w:t>
      </w:r>
      <w:r>
        <w:t>Sub-p</w:t>
      </w:r>
      <w:r w:rsidRPr="00EC50C0">
        <w:t xml:space="preserve">rocessor, if any, that in the event of bankruptcy of the original Processor, the Controller shall be entitled to continue the personal data processing relationship with the </w:t>
      </w:r>
      <w:r>
        <w:t>Sub-p</w:t>
      </w:r>
      <w:r w:rsidRPr="00EC50C0">
        <w:t xml:space="preserve">rocessor engaged by the original Processor, directly and/or by giving direct instructions regarding the processing of personal data, such as instructing the </w:t>
      </w:r>
      <w:r>
        <w:t>Sub-p</w:t>
      </w:r>
      <w:r w:rsidRPr="00EC50C0">
        <w:t>rocessor to erase or return the personal data to the Controller.</w:t>
      </w:r>
    </w:p>
    <w:p w14:paraId="5881DC36"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shall be responsible for requiring the </w:t>
      </w:r>
      <w:r>
        <w:t>Sub-p</w:t>
      </w:r>
      <w:r w:rsidRPr="00EC50C0">
        <w:t xml:space="preserve">rocessor to comply with at least the obligations to which the Processor is subject under the Agreement and the GDPR. In the event of the </w:t>
      </w:r>
      <w:r>
        <w:t>Sub-p</w:t>
      </w:r>
      <w:r w:rsidRPr="00EC50C0">
        <w:t xml:space="preserve">rocessor’s failure to comply with its personal data protection obligations, the original Processor with whom the Agreement was concluded shall remain fully responsible to the Controller for the </w:t>
      </w:r>
      <w:r>
        <w:t>Sub-p</w:t>
      </w:r>
      <w:r w:rsidRPr="00EC50C0">
        <w:t xml:space="preserve">rocessor’s compliance with its obligations. This shall not affect the rights of data subjects under the GDPR, in particular the rights under Articles 79 and 82 of the GDPR, in relation to the Controller and the Processor, including </w:t>
      </w:r>
      <w:r>
        <w:t>Sub-p</w:t>
      </w:r>
      <w:r w:rsidRPr="00EC50C0">
        <w:t>rocessors.</w:t>
      </w:r>
    </w:p>
    <w:p w14:paraId="08E9E9AC"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Controller shall have the right to require the Processor to inspect its </w:t>
      </w:r>
      <w:r>
        <w:t>Sub-p</w:t>
      </w:r>
      <w:r w:rsidRPr="00EC50C0">
        <w:t xml:space="preserve">rocessor or to provide confirmation of such inspection or, where possible, to obtain or assist the Controller in obtaining an external auditor’s report on the activities of the </w:t>
      </w:r>
      <w:r>
        <w:t>Sub-p</w:t>
      </w:r>
      <w:r w:rsidRPr="00EC50C0">
        <w:t>rocessor in order to ensure compliance with the requirements of the Personal Data Protection Legislation.</w:t>
      </w:r>
    </w:p>
    <w:p w14:paraId="10B62E19" w14:textId="77777777" w:rsidR="000578EF" w:rsidRPr="00EC50C0" w:rsidRDefault="000578EF" w:rsidP="000578EF">
      <w:pPr>
        <w:rPr>
          <w:rFonts w:cs="Arial"/>
          <w:b/>
        </w:rPr>
      </w:pPr>
    </w:p>
    <w:p w14:paraId="38133AEA" w14:textId="77777777" w:rsidR="000578EF" w:rsidRPr="00EC50C0" w:rsidRDefault="000578EF" w:rsidP="000578EF">
      <w:pPr>
        <w:pStyle w:val="ListParagraph"/>
        <w:numPr>
          <w:ilvl w:val="0"/>
          <w:numId w:val="1"/>
        </w:numPr>
        <w:ind w:left="426" w:hanging="426"/>
        <w:rPr>
          <w:rFonts w:cs="Arial"/>
          <w:b/>
        </w:rPr>
      </w:pPr>
      <w:r w:rsidRPr="00EC50C0">
        <w:rPr>
          <w:b/>
        </w:rPr>
        <w:t>Transfers of Personal Data to Third Countries</w:t>
      </w:r>
      <w:r w:rsidRPr="00EC50C0">
        <w:rPr>
          <w:rStyle w:val="FootnoteReference"/>
          <w:rFonts w:cs="Arial"/>
          <w:b/>
        </w:rPr>
        <w:footnoteReference w:id="1"/>
      </w:r>
      <w:r w:rsidRPr="00EC50C0">
        <w:rPr>
          <w:b/>
        </w:rPr>
        <w:t xml:space="preserve"> or International Organisations</w:t>
      </w:r>
    </w:p>
    <w:p w14:paraId="54C807EF" w14:textId="77777777" w:rsidR="000578EF" w:rsidRPr="00EC50C0" w:rsidRDefault="000578EF" w:rsidP="000578EF">
      <w:pPr>
        <w:pStyle w:val="ListParagraph"/>
        <w:ind w:left="426"/>
        <w:rPr>
          <w:rFonts w:cs="Arial"/>
          <w:b/>
        </w:rPr>
      </w:pPr>
    </w:p>
    <w:p w14:paraId="18E54F5E"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may not transfer personal data outside the European Economic Area (‘EEA’) without the prior written consent of the Controller. </w:t>
      </w:r>
    </w:p>
    <w:p w14:paraId="30228012"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In the event that the Controller has given its consent to the Processor to transfer personal data outside the EEA (including the approved </w:t>
      </w:r>
      <w:r>
        <w:t>Sub-p</w:t>
      </w:r>
      <w:r w:rsidRPr="00EC50C0">
        <w:t xml:space="preserve">rocessors listed in Annex 2 to the Agreement, List of </w:t>
      </w:r>
      <w:r>
        <w:t>Sub-p</w:t>
      </w:r>
      <w:r w:rsidRPr="00EC50C0">
        <w:t>rocessors Engaged by the Processor), the transfer of personal data shall be possible subject to the existence of one of the following conditions in accordance with the requirements of Chapter V of the GDPR:</w:t>
      </w:r>
    </w:p>
    <w:p w14:paraId="369811D9" w14:textId="77777777" w:rsidR="000578EF" w:rsidRPr="00EC50C0" w:rsidRDefault="000578EF" w:rsidP="000578EF">
      <w:pPr>
        <w:pStyle w:val="ListParagraph"/>
        <w:numPr>
          <w:ilvl w:val="2"/>
          <w:numId w:val="1"/>
        </w:numPr>
        <w:ind w:left="0" w:firstLine="11"/>
        <w:rPr>
          <w:rFonts w:cs="Arial"/>
        </w:rPr>
      </w:pPr>
      <w:r>
        <w:t>t</w:t>
      </w:r>
      <w:r w:rsidRPr="00EC50C0">
        <w:t xml:space="preserve">he personal data shall be transferred to a third country or territory in which the Processor is established or to a sector in the third country to which the Processor belongs that has been recognised by the European Commission as ensuring an adequate level of personal data protection in accordance with Article 45 of the GDPR. </w:t>
      </w:r>
    </w:p>
    <w:p w14:paraId="02F18D79" w14:textId="77777777" w:rsidR="000578EF" w:rsidRPr="00EC50C0" w:rsidRDefault="000578EF" w:rsidP="000578EF">
      <w:pPr>
        <w:pStyle w:val="ListParagraph"/>
        <w:numPr>
          <w:ilvl w:val="2"/>
          <w:numId w:val="1"/>
        </w:numPr>
        <w:ind w:left="0" w:firstLine="11"/>
        <w:rPr>
          <w:rFonts w:cs="Arial"/>
        </w:rPr>
      </w:pPr>
      <w:r>
        <w:t>t</w:t>
      </w:r>
      <w:r w:rsidRPr="00EC50C0">
        <w:t xml:space="preserve">he Processor has signed an agreement with the </w:t>
      </w:r>
      <w:r>
        <w:t>Sub-p</w:t>
      </w:r>
      <w:r w:rsidRPr="00EC50C0">
        <w:t>rocessor in accordance with the standard contractual clauses approved by the European Commission pursuant to Article 46(2)(c) of the GDPR.</w:t>
      </w:r>
    </w:p>
    <w:p w14:paraId="07CD140E" w14:textId="77777777" w:rsidR="000578EF" w:rsidRPr="00EC50C0" w:rsidRDefault="000578EF" w:rsidP="000578EF">
      <w:pPr>
        <w:pStyle w:val="ListParagraph"/>
        <w:numPr>
          <w:ilvl w:val="1"/>
          <w:numId w:val="1"/>
        </w:numPr>
        <w:tabs>
          <w:tab w:val="left" w:pos="567"/>
        </w:tabs>
        <w:ind w:left="0" w:firstLine="0"/>
        <w:rPr>
          <w:rFonts w:cs="Arial"/>
        </w:rPr>
      </w:pPr>
      <w:r w:rsidRPr="00EC50C0">
        <w:t>If the transfer of personal data to third countries or international organisations is required by the legislation of the European Union or its Member States with which the Processor must comply, although the Controller has not instructed the Processor to do so, the Processor shall inform the Controller of this legal requirement prior to the transfer of the personal data, unless the legislation in question prohibits the disclosure of such information.</w:t>
      </w:r>
    </w:p>
    <w:p w14:paraId="6187204C" w14:textId="77777777" w:rsidR="000578EF" w:rsidRPr="00EC50C0" w:rsidRDefault="000578EF" w:rsidP="000578EF">
      <w:pPr>
        <w:pStyle w:val="ListParagraph"/>
        <w:numPr>
          <w:ilvl w:val="1"/>
          <w:numId w:val="1"/>
        </w:numPr>
        <w:tabs>
          <w:tab w:val="left" w:pos="567"/>
        </w:tabs>
        <w:ind w:left="0" w:firstLine="0"/>
        <w:rPr>
          <w:rFonts w:cs="Arial"/>
        </w:rPr>
      </w:pPr>
      <w:r w:rsidRPr="00EC50C0">
        <w:t>The Processor shall not be able to do the following in compliance with this Agreement without documented instructions from the Controller or without a specific requirement under the legislation of the European Union or its Member State:</w:t>
      </w:r>
    </w:p>
    <w:p w14:paraId="17EEF1D3" w14:textId="77777777" w:rsidR="000578EF" w:rsidRPr="00EC50C0" w:rsidRDefault="000578EF" w:rsidP="000578EF">
      <w:pPr>
        <w:pStyle w:val="ListParagraph"/>
        <w:numPr>
          <w:ilvl w:val="2"/>
          <w:numId w:val="1"/>
        </w:numPr>
        <w:tabs>
          <w:tab w:val="left" w:pos="567"/>
        </w:tabs>
        <w:ind w:left="0" w:firstLine="0"/>
        <w:rPr>
          <w:rFonts w:cs="Arial"/>
        </w:rPr>
      </w:pPr>
      <w:r w:rsidRPr="00EC50C0">
        <w:t xml:space="preserve"> </w:t>
      </w:r>
      <w:r>
        <w:t>t</w:t>
      </w:r>
      <w:r w:rsidRPr="00EC50C0">
        <w:t>ransfer personal data to a controller or processor in a third country or international organisation;</w:t>
      </w:r>
    </w:p>
    <w:p w14:paraId="44BFD743" w14:textId="77777777" w:rsidR="000578EF" w:rsidRPr="00EC50C0" w:rsidRDefault="000578EF" w:rsidP="000578EF">
      <w:pPr>
        <w:pStyle w:val="ListParagraph"/>
        <w:numPr>
          <w:ilvl w:val="2"/>
          <w:numId w:val="1"/>
        </w:numPr>
        <w:tabs>
          <w:tab w:val="left" w:pos="567"/>
        </w:tabs>
        <w:ind w:left="0" w:firstLine="0"/>
        <w:rPr>
          <w:rFonts w:cs="Arial"/>
        </w:rPr>
      </w:pPr>
      <w:r w:rsidRPr="00EC50C0">
        <w:t xml:space="preserve"> </w:t>
      </w:r>
      <w:r>
        <w:t>t</w:t>
      </w:r>
      <w:r w:rsidRPr="00EC50C0">
        <w:t xml:space="preserve">ransfer the processing of personal data to the </w:t>
      </w:r>
      <w:r>
        <w:t>Sub-p</w:t>
      </w:r>
      <w:r w:rsidRPr="00EC50C0">
        <w:t>rocessor in a third country;</w:t>
      </w:r>
    </w:p>
    <w:p w14:paraId="0EB1F43E" w14:textId="77777777" w:rsidR="000578EF" w:rsidRPr="00EC50C0" w:rsidRDefault="000578EF" w:rsidP="000578EF">
      <w:pPr>
        <w:pStyle w:val="ListParagraph"/>
        <w:numPr>
          <w:ilvl w:val="2"/>
          <w:numId w:val="1"/>
        </w:numPr>
        <w:tabs>
          <w:tab w:val="left" w:pos="567"/>
        </w:tabs>
        <w:ind w:left="0" w:firstLine="0"/>
        <w:rPr>
          <w:rFonts w:cs="Arial"/>
        </w:rPr>
      </w:pPr>
      <w:r w:rsidRPr="00EC50C0">
        <w:t xml:space="preserve"> </w:t>
      </w:r>
      <w:r>
        <w:t>a</w:t>
      </w:r>
      <w:r w:rsidRPr="00EC50C0">
        <w:t>llow personal data to be processed by a processor in a third country.</w:t>
      </w:r>
    </w:p>
    <w:p w14:paraId="5BF3AC43"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This Agreement does not constitute standard data protection clauses within the meaning of Article 46(2)(c) and (d) of the GDPR, and the parties may not rely on the Agreement as a basis for transfers of personal data to third countries or international organisations in accordance with Chapter </w:t>
      </w:r>
      <w:r w:rsidRPr="00EC50C0">
        <w:lastRenderedPageBreak/>
        <w:t>V of the GDPR, unless the standard data protection clauses for the transfers of personal data to third countries or international organisations are signed as an annex to the Agreement.</w:t>
      </w:r>
    </w:p>
    <w:p w14:paraId="2E2479F5" w14:textId="77777777" w:rsidR="000578EF" w:rsidRPr="00EC50C0" w:rsidRDefault="000578EF" w:rsidP="000578EF">
      <w:pPr>
        <w:pStyle w:val="ListParagraph"/>
        <w:numPr>
          <w:ilvl w:val="1"/>
          <w:numId w:val="1"/>
        </w:numPr>
        <w:tabs>
          <w:tab w:val="left" w:pos="567"/>
        </w:tabs>
        <w:ind w:left="0" w:firstLine="0"/>
        <w:rPr>
          <w:rFonts w:cs="Arial"/>
        </w:rPr>
      </w:pPr>
      <w:r w:rsidRPr="00EC50C0">
        <w:t>If the conditions for the transfer of personal data referred to in clause 5.2 of this Agreement may no longer be applied because they no longer comply with the requirements of the Personal Data Protection Legislation, the Parties undertake to implement an alternative solution for the transfer of personal data without undue delay. If the Processor is unable to implement the alternative transfer solution for any reason, the Controller shall have the right to terminate the Main Contract unilaterally without incurring any additional loss.</w:t>
      </w:r>
    </w:p>
    <w:p w14:paraId="486769E5" w14:textId="77777777" w:rsidR="000578EF" w:rsidRPr="00EC50C0" w:rsidRDefault="000578EF" w:rsidP="000578EF">
      <w:pPr>
        <w:pStyle w:val="ListParagraph"/>
        <w:ind w:left="426"/>
        <w:rPr>
          <w:rFonts w:cs="Arial"/>
          <w:b/>
        </w:rPr>
      </w:pPr>
    </w:p>
    <w:p w14:paraId="42565161" w14:textId="77777777" w:rsidR="000578EF" w:rsidRPr="00EC50C0" w:rsidRDefault="000578EF" w:rsidP="000578EF">
      <w:pPr>
        <w:pStyle w:val="ListParagraph"/>
        <w:numPr>
          <w:ilvl w:val="0"/>
          <w:numId w:val="1"/>
        </w:numPr>
        <w:ind w:left="426" w:hanging="426"/>
        <w:rPr>
          <w:rFonts w:cs="Arial"/>
          <w:b/>
        </w:rPr>
      </w:pPr>
      <w:r w:rsidRPr="00EC50C0">
        <w:rPr>
          <w:b/>
        </w:rPr>
        <w:t>The Processor’s Assistance to the Controller</w:t>
      </w:r>
    </w:p>
    <w:p w14:paraId="047CD241" w14:textId="77777777" w:rsidR="000578EF" w:rsidRPr="00EC50C0" w:rsidRDefault="000578EF" w:rsidP="000578EF">
      <w:pPr>
        <w:pStyle w:val="ListParagraph"/>
        <w:ind w:left="360"/>
        <w:rPr>
          <w:rFonts w:cs="Arial"/>
          <w:b/>
        </w:rPr>
      </w:pPr>
    </w:p>
    <w:p w14:paraId="439ABD30" w14:textId="77777777" w:rsidR="000578EF" w:rsidRPr="00EC50C0" w:rsidRDefault="000578EF" w:rsidP="000578EF">
      <w:pPr>
        <w:pStyle w:val="ListParagraph"/>
        <w:widowControl w:val="0"/>
        <w:numPr>
          <w:ilvl w:val="1"/>
          <w:numId w:val="1"/>
        </w:numPr>
        <w:tabs>
          <w:tab w:val="left" w:pos="567"/>
        </w:tabs>
        <w:ind w:left="0" w:firstLine="0"/>
        <w:rPr>
          <w:rFonts w:cs="Arial"/>
        </w:rPr>
      </w:pPr>
      <w:r w:rsidRPr="00EC50C0">
        <w:t xml:space="preserve">Taking into account the nature of the processing of personal data, the Processor shall, to the extent possible, assist the Controller with appropriate technical and organisational measures to fulfil the Controller’s obligations to respond to requests to exercise the rights of the data subject set out in Chapter III of the GDPR. This means that the Processor, to the extent possible, shall assist the Controller in enforcing: </w:t>
      </w:r>
    </w:p>
    <w:p w14:paraId="2258AF69" w14:textId="77777777" w:rsidR="000578EF" w:rsidRPr="00EC50C0" w:rsidRDefault="000578EF" w:rsidP="000578EF">
      <w:pPr>
        <w:pStyle w:val="ListParagraph"/>
        <w:widowControl w:val="0"/>
        <w:numPr>
          <w:ilvl w:val="2"/>
          <w:numId w:val="1"/>
        </w:numPr>
        <w:tabs>
          <w:tab w:val="left" w:pos="709"/>
        </w:tabs>
        <w:ind w:left="0" w:firstLine="0"/>
        <w:jc w:val="left"/>
        <w:rPr>
          <w:rFonts w:cs="Arial"/>
        </w:rPr>
      </w:pPr>
      <w:r>
        <w:t>t</w:t>
      </w:r>
      <w:r w:rsidRPr="00EC50C0">
        <w:t>he right to be informed when personal data are collected from the data subject;</w:t>
      </w:r>
    </w:p>
    <w:p w14:paraId="3F4E01DF" w14:textId="77777777" w:rsidR="000578EF" w:rsidRPr="00EC50C0" w:rsidRDefault="000578EF" w:rsidP="000578EF">
      <w:pPr>
        <w:pStyle w:val="ListParagraph"/>
        <w:widowControl w:val="0"/>
        <w:numPr>
          <w:ilvl w:val="2"/>
          <w:numId w:val="1"/>
        </w:numPr>
        <w:tabs>
          <w:tab w:val="left" w:pos="709"/>
        </w:tabs>
        <w:ind w:left="0" w:firstLine="0"/>
        <w:jc w:val="left"/>
        <w:rPr>
          <w:rFonts w:cs="Arial"/>
        </w:rPr>
      </w:pPr>
      <w:r>
        <w:t>t</w:t>
      </w:r>
      <w:r w:rsidRPr="00EC50C0">
        <w:t>he right to be informed when personal data are obtained not from the data subject;</w:t>
      </w:r>
    </w:p>
    <w:p w14:paraId="2EAAA0BA" w14:textId="77777777" w:rsidR="000578EF" w:rsidRPr="00EC50C0" w:rsidRDefault="000578EF" w:rsidP="000578EF">
      <w:pPr>
        <w:pStyle w:val="ListParagraph"/>
        <w:widowControl w:val="0"/>
        <w:numPr>
          <w:ilvl w:val="2"/>
          <w:numId w:val="1"/>
        </w:numPr>
        <w:tabs>
          <w:tab w:val="left" w:pos="709"/>
        </w:tabs>
        <w:ind w:left="0" w:firstLine="0"/>
        <w:jc w:val="left"/>
        <w:rPr>
          <w:rFonts w:cs="Arial"/>
        </w:rPr>
      </w:pPr>
      <w:r>
        <w:t>t</w:t>
      </w:r>
      <w:r w:rsidRPr="00EC50C0">
        <w:t>he right of access to personal data;</w:t>
      </w:r>
    </w:p>
    <w:p w14:paraId="62E4DBCE" w14:textId="77777777" w:rsidR="000578EF" w:rsidRPr="00EC50C0" w:rsidRDefault="000578EF" w:rsidP="000578EF">
      <w:pPr>
        <w:pStyle w:val="ListParagraph"/>
        <w:widowControl w:val="0"/>
        <w:numPr>
          <w:ilvl w:val="2"/>
          <w:numId w:val="1"/>
        </w:numPr>
        <w:tabs>
          <w:tab w:val="left" w:pos="709"/>
        </w:tabs>
        <w:ind w:left="0" w:firstLine="0"/>
        <w:jc w:val="left"/>
        <w:rPr>
          <w:rFonts w:cs="Arial"/>
        </w:rPr>
      </w:pPr>
      <w:r>
        <w:t>t</w:t>
      </w:r>
      <w:r w:rsidRPr="00EC50C0">
        <w:t xml:space="preserve">he right to </w:t>
      </w:r>
      <w:r>
        <w:t>rectification of personal data</w:t>
      </w:r>
      <w:r w:rsidRPr="00EC50C0">
        <w:t>;</w:t>
      </w:r>
    </w:p>
    <w:p w14:paraId="00D15EAF" w14:textId="77777777" w:rsidR="000578EF" w:rsidRPr="00EC50C0" w:rsidRDefault="000578EF" w:rsidP="000578EF">
      <w:pPr>
        <w:pStyle w:val="ListParagraph"/>
        <w:widowControl w:val="0"/>
        <w:numPr>
          <w:ilvl w:val="2"/>
          <w:numId w:val="1"/>
        </w:numPr>
        <w:tabs>
          <w:tab w:val="left" w:pos="709"/>
        </w:tabs>
        <w:ind w:left="0" w:firstLine="0"/>
        <w:jc w:val="left"/>
        <w:rPr>
          <w:rFonts w:cs="Arial"/>
        </w:rPr>
      </w:pPr>
      <w:r>
        <w:t>t</w:t>
      </w:r>
      <w:r w:rsidRPr="00EC50C0">
        <w:t xml:space="preserve">he right to </w:t>
      </w:r>
      <w:r>
        <w:t>erasure of personal data</w:t>
      </w:r>
      <w:r w:rsidRPr="00EC50C0">
        <w:t xml:space="preserve"> (‘the right to be forgotten’);</w:t>
      </w:r>
    </w:p>
    <w:p w14:paraId="7B2A01D0" w14:textId="77777777" w:rsidR="000578EF" w:rsidRPr="00EC50C0" w:rsidRDefault="000578EF" w:rsidP="000578EF">
      <w:pPr>
        <w:pStyle w:val="ListParagraph"/>
        <w:widowControl w:val="0"/>
        <w:numPr>
          <w:ilvl w:val="2"/>
          <w:numId w:val="1"/>
        </w:numPr>
        <w:tabs>
          <w:tab w:val="left" w:pos="709"/>
        </w:tabs>
        <w:ind w:left="0" w:firstLine="0"/>
        <w:jc w:val="left"/>
        <w:rPr>
          <w:rFonts w:cs="Arial"/>
        </w:rPr>
      </w:pPr>
      <w:r>
        <w:t>t</w:t>
      </w:r>
      <w:r w:rsidRPr="00EC50C0">
        <w:t>he right to restrict</w:t>
      </w:r>
      <w:r>
        <w:t>ion of</w:t>
      </w:r>
      <w:r w:rsidRPr="00EC50C0">
        <w:t xml:space="preserve"> </w:t>
      </w:r>
      <w:r>
        <w:t>personal data</w:t>
      </w:r>
      <w:r w:rsidRPr="00EC50C0">
        <w:t xml:space="preserve"> processing;</w:t>
      </w:r>
    </w:p>
    <w:p w14:paraId="15948925" w14:textId="77777777" w:rsidR="000578EF" w:rsidRPr="00EC50C0" w:rsidRDefault="000578EF" w:rsidP="000578EF">
      <w:pPr>
        <w:pStyle w:val="ListParagraph"/>
        <w:widowControl w:val="0"/>
        <w:numPr>
          <w:ilvl w:val="2"/>
          <w:numId w:val="1"/>
        </w:numPr>
        <w:tabs>
          <w:tab w:val="left" w:pos="450"/>
          <w:tab w:val="left" w:pos="709"/>
        </w:tabs>
        <w:ind w:left="0" w:firstLine="0"/>
        <w:jc w:val="left"/>
        <w:rPr>
          <w:rFonts w:cs="Arial"/>
        </w:rPr>
      </w:pPr>
      <w:r>
        <w:t>t</w:t>
      </w:r>
      <w:r w:rsidRPr="00EC50C0">
        <w:t>he obligation to notify the rectification or erasure of personal data or the restriction of processing of personal data;</w:t>
      </w:r>
    </w:p>
    <w:p w14:paraId="7E5E03C4" w14:textId="77777777" w:rsidR="000578EF" w:rsidRPr="00EC50C0" w:rsidRDefault="000578EF" w:rsidP="000578EF">
      <w:pPr>
        <w:pStyle w:val="ListParagraph"/>
        <w:widowControl w:val="0"/>
        <w:numPr>
          <w:ilvl w:val="2"/>
          <w:numId w:val="1"/>
        </w:numPr>
        <w:tabs>
          <w:tab w:val="left" w:pos="284"/>
          <w:tab w:val="left" w:pos="709"/>
        </w:tabs>
        <w:ind w:left="0" w:firstLine="0"/>
        <w:jc w:val="left"/>
        <w:rPr>
          <w:rFonts w:cs="Arial"/>
        </w:rPr>
      </w:pPr>
      <w:r>
        <w:t>t</w:t>
      </w:r>
      <w:r w:rsidRPr="00EC50C0">
        <w:t>he right to personal data portability;</w:t>
      </w:r>
    </w:p>
    <w:p w14:paraId="77C3604C" w14:textId="77777777" w:rsidR="000578EF" w:rsidRPr="00EC50C0" w:rsidRDefault="000578EF" w:rsidP="000578EF">
      <w:pPr>
        <w:pStyle w:val="ListParagraph"/>
        <w:widowControl w:val="0"/>
        <w:numPr>
          <w:ilvl w:val="2"/>
          <w:numId w:val="1"/>
        </w:numPr>
        <w:tabs>
          <w:tab w:val="left" w:pos="284"/>
          <w:tab w:val="left" w:pos="709"/>
        </w:tabs>
        <w:ind w:left="0" w:firstLine="0"/>
        <w:jc w:val="left"/>
        <w:rPr>
          <w:rFonts w:cs="Arial"/>
        </w:rPr>
      </w:pPr>
      <w:r>
        <w:t>t</w:t>
      </w:r>
      <w:r w:rsidRPr="00EC50C0">
        <w:t>he right to object to the processing of personal data;</w:t>
      </w:r>
    </w:p>
    <w:p w14:paraId="1D524B9B" w14:textId="77777777" w:rsidR="000578EF" w:rsidRPr="00EC50C0" w:rsidRDefault="000578EF" w:rsidP="000578EF">
      <w:pPr>
        <w:pStyle w:val="ListParagraph"/>
        <w:widowControl w:val="0"/>
        <w:numPr>
          <w:ilvl w:val="2"/>
          <w:numId w:val="1"/>
        </w:numPr>
        <w:tabs>
          <w:tab w:val="left" w:pos="567"/>
        </w:tabs>
        <w:ind w:left="0" w:firstLine="0"/>
        <w:jc w:val="left"/>
        <w:rPr>
          <w:rFonts w:cs="Arial"/>
        </w:rPr>
      </w:pPr>
      <w:r>
        <w:t>t</w:t>
      </w:r>
      <w:r w:rsidRPr="00EC50C0">
        <w:t>he right not to be subject to decisions based solely on automated processing of personal data, including profiling.</w:t>
      </w:r>
    </w:p>
    <w:p w14:paraId="792B46DB" w14:textId="77777777" w:rsidR="000578EF" w:rsidRPr="00EC50C0" w:rsidRDefault="000578EF" w:rsidP="000578EF">
      <w:pPr>
        <w:pStyle w:val="ListParagraph"/>
        <w:widowControl w:val="0"/>
        <w:numPr>
          <w:ilvl w:val="1"/>
          <w:numId w:val="1"/>
        </w:numPr>
        <w:tabs>
          <w:tab w:val="left" w:pos="567"/>
        </w:tabs>
        <w:ind w:left="0" w:firstLine="0"/>
        <w:rPr>
          <w:rFonts w:cs="Arial"/>
        </w:rPr>
      </w:pPr>
      <w:r w:rsidRPr="00EC50C0">
        <w:t>In addition to the Processor’s obligation to assist the Controller in accordance with clause 3.5 of the Agreement, the Processor, taking into account the nature of the processing and the information available to the Processor, shall also assist the Controller in ensuring:</w:t>
      </w:r>
    </w:p>
    <w:p w14:paraId="0C4A3FB1" w14:textId="77777777" w:rsidR="000578EF" w:rsidRPr="00EC50C0" w:rsidRDefault="000578EF" w:rsidP="000578EF">
      <w:pPr>
        <w:pStyle w:val="ListParagraph"/>
        <w:widowControl w:val="0"/>
        <w:numPr>
          <w:ilvl w:val="2"/>
          <w:numId w:val="1"/>
        </w:numPr>
        <w:tabs>
          <w:tab w:val="left" w:pos="567"/>
        </w:tabs>
        <w:ind w:left="0" w:firstLine="0"/>
        <w:rPr>
          <w:rFonts w:cs="Arial"/>
        </w:rPr>
      </w:pPr>
      <w:r>
        <w:t>t</w:t>
      </w:r>
      <w:r w:rsidRPr="00EC50C0">
        <w:t xml:space="preserve">he obligation of the Controller to notify the personal data breach to the competent supervisory authority, the State Data Protection Inspectorate, without delay and, where possible, within 72 hours of becoming aware of it, </w:t>
      </w:r>
      <w:r w:rsidRPr="00EC50C0">
        <w:rPr>
          <w:shd w:val="clear" w:color="auto" w:fill="FFFFFF"/>
        </w:rPr>
        <w:t xml:space="preserve">unless the personal data breach </w:t>
      </w:r>
      <w:r w:rsidRPr="00782C25">
        <w:rPr>
          <w:shd w:val="clear" w:color="auto" w:fill="FFFFFF"/>
        </w:rPr>
        <w:t>is unlikely to result in a risk to</w:t>
      </w:r>
      <w:r>
        <w:rPr>
          <w:shd w:val="clear" w:color="auto" w:fill="FFFFFF"/>
        </w:rPr>
        <w:t xml:space="preserve"> </w:t>
      </w:r>
      <w:r w:rsidRPr="00EC50C0">
        <w:rPr>
          <w:shd w:val="clear" w:color="auto" w:fill="FFFFFF"/>
        </w:rPr>
        <w:t>the rights and freedoms of natural persons</w:t>
      </w:r>
      <w:r w:rsidRPr="00EC50C0">
        <w:t>;</w:t>
      </w:r>
    </w:p>
    <w:p w14:paraId="177A0DCB" w14:textId="77777777" w:rsidR="000578EF" w:rsidRPr="00EC50C0" w:rsidRDefault="000578EF" w:rsidP="000578EF">
      <w:pPr>
        <w:pStyle w:val="ListParagraph"/>
        <w:widowControl w:val="0"/>
        <w:numPr>
          <w:ilvl w:val="2"/>
          <w:numId w:val="1"/>
        </w:numPr>
        <w:tabs>
          <w:tab w:val="left" w:pos="567"/>
        </w:tabs>
        <w:ind w:left="0" w:firstLine="0"/>
        <w:rPr>
          <w:rFonts w:cs="Arial"/>
        </w:rPr>
      </w:pPr>
      <w:r>
        <w:t>t</w:t>
      </w:r>
      <w:r w:rsidRPr="00EC50C0">
        <w:t>he obligation of the Controller to notify a personal data breach to the data subject without undue delay where the personal data breach is likely to result in a serious risk to the rights and freedoms of natural persons;</w:t>
      </w:r>
    </w:p>
    <w:p w14:paraId="406FE9D5" w14:textId="77777777" w:rsidR="000578EF" w:rsidRPr="00EC50C0" w:rsidRDefault="000578EF" w:rsidP="000578EF">
      <w:pPr>
        <w:pStyle w:val="ListParagraph"/>
        <w:widowControl w:val="0"/>
        <w:numPr>
          <w:ilvl w:val="2"/>
          <w:numId w:val="1"/>
        </w:numPr>
        <w:tabs>
          <w:tab w:val="left" w:pos="567"/>
        </w:tabs>
        <w:ind w:left="0" w:firstLine="0"/>
        <w:rPr>
          <w:rFonts w:cs="Arial"/>
        </w:rPr>
      </w:pPr>
      <w:r>
        <w:t>t</w:t>
      </w:r>
      <w:r w:rsidRPr="00EC50C0">
        <w:t>he obligation of the Controller to carry out a data protection impact assessment of the intended personal data processing operations, where the manner in which personal data are processed may result in a serious risk to the rights and freedoms of natural persons;</w:t>
      </w:r>
    </w:p>
    <w:p w14:paraId="206A55FD" w14:textId="77777777" w:rsidR="000578EF" w:rsidRPr="00EC50C0" w:rsidRDefault="000578EF" w:rsidP="000578EF">
      <w:pPr>
        <w:pStyle w:val="ListParagraph"/>
        <w:widowControl w:val="0"/>
        <w:numPr>
          <w:ilvl w:val="2"/>
          <w:numId w:val="1"/>
        </w:numPr>
        <w:tabs>
          <w:tab w:val="left" w:pos="567"/>
        </w:tabs>
        <w:ind w:left="0" w:firstLine="0"/>
        <w:rPr>
          <w:rFonts w:cs="Arial"/>
        </w:rPr>
      </w:pPr>
      <w:r>
        <w:t>t</w:t>
      </w:r>
      <w:r w:rsidRPr="00EC50C0">
        <w:t>he Controller’s obligation to consult the competent supervisory authority, the State Data Protection Inspectorate, prior to the commencement of the processing of personal data if the data protection impact assessment indicates that the processing of the personal data would result in a serious risk to the rights and freedoms of data subjects if the Controller does not take measures to mitigate that risk.</w:t>
      </w:r>
    </w:p>
    <w:p w14:paraId="2A719AEF" w14:textId="77777777" w:rsidR="000578EF" w:rsidRPr="00EC50C0" w:rsidRDefault="000578EF" w:rsidP="000578EF">
      <w:pPr>
        <w:pStyle w:val="ListParagraph"/>
        <w:tabs>
          <w:tab w:val="left" w:pos="567"/>
        </w:tabs>
        <w:ind w:left="0"/>
        <w:rPr>
          <w:rFonts w:cs="Arial"/>
        </w:rPr>
      </w:pPr>
    </w:p>
    <w:p w14:paraId="63519C5D" w14:textId="77777777" w:rsidR="000578EF" w:rsidRPr="00EC50C0" w:rsidRDefault="000578EF" w:rsidP="000578EF">
      <w:pPr>
        <w:pStyle w:val="ListParagraph"/>
        <w:numPr>
          <w:ilvl w:val="0"/>
          <w:numId w:val="1"/>
        </w:numPr>
        <w:spacing w:after="160" w:line="259" w:lineRule="auto"/>
        <w:jc w:val="left"/>
        <w:rPr>
          <w:rFonts w:cs="Arial"/>
        </w:rPr>
      </w:pPr>
      <w:r w:rsidRPr="00EC50C0">
        <w:rPr>
          <w:b/>
        </w:rPr>
        <w:t>Personal Data Breaches</w:t>
      </w:r>
    </w:p>
    <w:p w14:paraId="4CE877F2" w14:textId="77777777" w:rsidR="000578EF" w:rsidRPr="00EC50C0" w:rsidRDefault="000578EF" w:rsidP="000578EF">
      <w:pPr>
        <w:pStyle w:val="ListParagraph"/>
        <w:ind w:left="360"/>
        <w:rPr>
          <w:rFonts w:cs="Arial"/>
        </w:rPr>
      </w:pPr>
    </w:p>
    <w:p w14:paraId="0D4E68CB"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In the event of a personal data breach (incident), the Processor must notify the Controller (by email to </w:t>
      </w:r>
      <w:hyperlink r:id="rId8">
        <w:r w:rsidRPr="00EC50C0">
          <w:rPr>
            <w:rStyle w:val="Hyperlink"/>
          </w:rPr>
          <w:t>dap@ltg.lt</w:t>
        </w:r>
      </w:hyperlink>
      <w:r w:rsidRPr="00EC50C0">
        <w:t xml:space="preserve">) immediately, but no later than 24 hours after becoming aware of the potential personal data breach, regardless of whether the breach may </w:t>
      </w:r>
      <w:r w:rsidRPr="005D4C43">
        <w:t>likely to result in a risk to</w:t>
      </w:r>
      <w:r w:rsidRPr="00EC50C0">
        <w:t xml:space="preserve"> the rights and freedoms of data subjects, so that the Controller can comply with the Controller’s obligation to notify the personal data breach to the competent supervisory authority in accordance with Article 33 of the GDPR. </w:t>
      </w:r>
    </w:p>
    <w:p w14:paraId="1416DA1D" w14:textId="77777777" w:rsidR="000578EF" w:rsidRPr="00EC50C0" w:rsidRDefault="000578EF" w:rsidP="000578EF">
      <w:pPr>
        <w:pStyle w:val="ListParagraph"/>
        <w:numPr>
          <w:ilvl w:val="1"/>
          <w:numId w:val="1"/>
        </w:numPr>
        <w:tabs>
          <w:tab w:val="left" w:pos="567"/>
        </w:tabs>
        <w:ind w:left="0" w:firstLine="0"/>
        <w:rPr>
          <w:rFonts w:cs="Arial"/>
        </w:rPr>
      </w:pPr>
      <w:r w:rsidRPr="00EC50C0">
        <w:lastRenderedPageBreak/>
        <w:t>The obligation of the Processor, referred to in sub-clause 6.2.1 of the Agreement, to assist the Controller in notifying the competent supervisory authority of a personal data breach means that the Processor must assist the Controller in obtaining, as a minimum, the following information, which must be included in the Controller’s notification to the competent supervisory authority in accordance with Article 33(3) of the GDPR:</w:t>
      </w:r>
    </w:p>
    <w:p w14:paraId="4BBA3E03" w14:textId="77777777" w:rsidR="000578EF" w:rsidRPr="00EC50C0" w:rsidRDefault="000578EF" w:rsidP="000578EF">
      <w:pPr>
        <w:pStyle w:val="ListParagraph"/>
        <w:numPr>
          <w:ilvl w:val="2"/>
          <w:numId w:val="1"/>
        </w:numPr>
        <w:tabs>
          <w:tab w:val="left" w:pos="567"/>
        </w:tabs>
        <w:ind w:left="0" w:firstLine="0"/>
        <w:rPr>
          <w:rFonts w:cs="Arial"/>
        </w:rPr>
      </w:pPr>
      <w:r>
        <w:t>t</w:t>
      </w:r>
      <w:r w:rsidRPr="00EC50C0">
        <w:t>he nature of the personal data, including, where possible, the categories and approximate number of data subjects concerned and the categories and approximate number of personal data concerned;</w:t>
      </w:r>
    </w:p>
    <w:p w14:paraId="42E9CAC3" w14:textId="77777777" w:rsidR="000578EF" w:rsidRPr="00EC50C0" w:rsidRDefault="000578EF" w:rsidP="000578EF">
      <w:pPr>
        <w:pStyle w:val="ListParagraph"/>
        <w:numPr>
          <w:ilvl w:val="2"/>
          <w:numId w:val="1"/>
        </w:numPr>
        <w:tabs>
          <w:tab w:val="left" w:pos="567"/>
        </w:tabs>
        <w:ind w:left="0" w:firstLine="0"/>
        <w:rPr>
          <w:rFonts w:cs="Arial"/>
        </w:rPr>
      </w:pPr>
      <w:r>
        <w:t>t</w:t>
      </w:r>
      <w:r w:rsidRPr="00EC50C0">
        <w:t>he likely consequences of the personal data breach;</w:t>
      </w:r>
    </w:p>
    <w:p w14:paraId="1E14743B" w14:textId="77777777" w:rsidR="000578EF" w:rsidRPr="00EC50C0" w:rsidRDefault="000578EF" w:rsidP="000578EF">
      <w:pPr>
        <w:pStyle w:val="ListParagraph"/>
        <w:numPr>
          <w:ilvl w:val="2"/>
          <w:numId w:val="1"/>
        </w:numPr>
        <w:tabs>
          <w:tab w:val="left" w:pos="567"/>
        </w:tabs>
        <w:ind w:left="0" w:firstLine="0"/>
        <w:rPr>
          <w:rFonts w:cs="Arial"/>
        </w:rPr>
      </w:pPr>
      <w:r>
        <w:t>t</w:t>
      </w:r>
      <w:r w:rsidRPr="00EC50C0">
        <w:t>he measures taken or proposed to be taken by the Processor as a result of the personal data breach, including, where appropriate, measures to mitigate the possible adverse effects of the breach;</w:t>
      </w:r>
    </w:p>
    <w:p w14:paraId="11BBC9A9" w14:textId="77777777" w:rsidR="000578EF" w:rsidRPr="00EC50C0" w:rsidRDefault="000578EF" w:rsidP="000578EF">
      <w:pPr>
        <w:pStyle w:val="ListParagraph"/>
        <w:numPr>
          <w:ilvl w:val="2"/>
          <w:numId w:val="1"/>
        </w:numPr>
        <w:tabs>
          <w:tab w:val="left" w:pos="567"/>
        </w:tabs>
        <w:ind w:left="0" w:firstLine="0"/>
        <w:rPr>
          <w:rFonts w:cs="Arial"/>
        </w:rPr>
      </w:pPr>
      <w:r>
        <w:t>a</w:t>
      </w:r>
      <w:r w:rsidRPr="00EC50C0">
        <w:t>ny other relevant information that is or may be necessary for the Controller to draft the notification or to respond to further enquiries from the competent supervisory authority in relation to the personal data breach.</w:t>
      </w:r>
    </w:p>
    <w:p w14:paraId="6C342425" w14:textId="77777777" w:rsidR="000578EF" w:rsidRPr="00EC50C0" w:rsidRDefault="000578EF" w:rsidP="000578EF">
      <w:pPr>
        <w:pStyle w:val="ListParagraph"/>
        <w:numPr>
          <w:ilvl w:val="1"/>
          <w:numId w:val="1"/>
        </w:numPr>
        <w:tabs>
          <w:tab w:val="left" w:pos="567"/>
        </w:tabs>
        <w:ind w:left="0" w:firstLine="0"/>
        <w:rPr>
          <w:rFonts w:cs="Arial"/>
        </w:rPr>
      </w:pPr>
      <w:r w:rsidRPr="00EC50C0">
        <w:t>Upon receiving an instruction from the Controller, the Processor must promptly remedy the problem and prevent further damage, as well as mitigate the consequences of the personal data breach and apply corrective measures to prevent similar breaches.</w:t>
      </w:r>
    </w:p>
    <w:p w14:paraId="275B91C9" w14:textId="77777777" w:rsidR="000578EF" w:rsidRPr="00EC50C0" w:rsidRDefault="000578EF" w:rsidP="000578EF">
      <w:pPr>
        <w:pStyle w:val="ListParagraph"/>
        <w:numPr>
          <w:ilvl w:val="1"/>
          <w:numId w:val="1"/>
        </w:numPr>
        <w:tabs>
          <w:tab w:val="left" w:pos="360"/>
        </w:tabs>
        <w:ind w:left="0" w:firstLine="0"/>
        <w:rPr>
          <w:rFonts w:cs="Arial"/>
        </w:rPr>
      </w:pPr>
      <w:r w:rsidRPr="00EC50C0">
        <w:t>The Processor must document all personal data breaches, including the facts surrounding the personal data breach, its impact and the corrective actions taken. Upon request by the Controller, the Processor must provide these documents to the Controller for review.</w:t>
      </w:r>
    </w:p>
    <w:p w14:paraId="7EF486AF" w14:textId="77777777" w:rsidR="000578EF" w:rsidRPr="00EC50C0" w:rsidRDefault="000578EF" w:rsidP="000578EF">
      <w:pPr>
        <w:pStyle w:val="ListParagraph"/>
        <w:numPr>
          <w:ilvl w:val="1"/>
          <w:numId w:val="1"/>
        </w:numPr>
        <w:tabs>
          <w:tab w:val="left" w:pos="567"/>
        </w:tabs>
        <w:ind w:left="0" w:firstLine="0"/>
        <w:rPr>
          <w:rFonts w:cs="Arial"/>
        </w:rPr>
      </w:pPr>
      <w:r w:rsidRPr="00EC50C0">
        <w:t>If the Processor does not provide the Controller with complete information about the personal data breach or if additional information subsequently comes to light, the Processor must provide an additional notification to the Controller with all the missing information without undue delay, but at the latest within 12 hours of the additional information becoming available.</w:t>
      </w:r>
    </w:p>
    <w:p w14:paraId="05DFF066" w14:textId="77777777" w:rsidR="000578EF" w:rsidRPr="00EC50C0" w:rsidRDefault="000578EF" w:rsidP="000578EF">
      <w:pPr>
        <w:pStyle w:val="ListParagraph"/>
        <w:numPr>
          <w:ilvl w:val="1"/>
          <w:numId w:val="1"/>
        </w:numPr>
        <w:tabs>
          <w:tab w:val="left" w:pos="567"/>
        </w:tabs>
        <w:ind w:left="0" w:firstLine="0"/>
        <w:rPr>
          <w:rFonts w:cs="Arial"/>
        </w:rPr>
      </w:pPr>
      <w:r w:rsidRPr="00EC50C0">
        <w:t>The Processor shall also provide all possible assistance to the Controller necessary for the proper notification of a personal data breach to the data subject.</w:t>
      </w:r>
    </w:p>
    <w:p w14:paraId="7B16203D" w14:textId="77777777" w:rsidR="000578EF" w:rsidRPr="00EC50C0" w:rsidRDefault="000578EF" w:rsidP="000578EF">
      <w:pPr>
        <w:pStyle w:val="ListParagraph"/>
        <w:numPr>
          <w:ilvl w:val="1"/>
          <w:numId w:val="1"/>
        </w:numPr>
        <w:tabs>
          <w:tab w:val="left" w:pos="567"/>
        </w:tabs>
        <w:ind w:left="0" w:firstLine="0"/>
        <w:rPr>
          <w:rFonts w:cs="Arial"/>
        </w:rPr>
      </w:pPr>
      <w:r w:rsidRPr="00EC50C0">
        <w:t>The Processor shall not, without the permission of the Controller, make publicly available any communication about personal data</w:t>
      </w:r>
      <w:r>
        <w:t xml:space="preserve"> breach</w:t>
      </w:r>
      <w:r w:rsidRPr="00EC50C0">
        <w:t xml:space="preserve"> held by the Controller according to which the Controller could be identified.</w:t>
      </w:r>
    </w:p>
    <w:p w14:paraId="1ADFC44A" w14:textId="77777777" w:rsidR="000578EF" w:rsidRPr="00EC50C0" w:rsidRDefault="000578EF" w:rsidP="000578EF">
      <w:pPr>
        <w:pStyle w:val="ListParagraph"/>
        <w:tabs>
          <w:tab w:val="left" w:pos="567"/>
        </w:tabs>
        <w:ind w:left="0"/>
        <w:rPr>
          <w:rFonts w:cs="Arial"/>
          <w:bCs/>
        </w:rPr>
      </w:pPr>
    </w:p>
    <w:p w14:paraId="157A15BD" w14:textId="77777777" w:rsidR="000578EF" w:rsidRPr="00EC50C0" w:rsidRDefault="000578EF" w:rsidP="000578EF">
      <w:pPr>
        <w:pStyle w:val="ListParagraph"/>
        <w:numPr>
          <w:ilvl w:val="0"/>
          <w:numId w:val="1"/>
        </w:numPr>
        <w:tabs>
          <w:tab w:val="left" w:pos="567"/>
        </w:tabs>
        <w:rPr>
          <w:rFonts w:cs="Arial"/>
          <w:bCs/>
        </w:rPr>
      </w:pPr>
      <w:r w:rsidRPr="00EC50C0">
        <w:rPr>
          <w:b/>
        </w:rPr>
        <w:t xml:space="preserve">Data Protection Impact Assessment and </w:t>
      </w:r>
      <w:r>
        <w:rPr>
          <w:b/>
        </w:rPr>
        <w:t>Prior</w:t>
      </w:r>
      <w:r w:rsidRPr="00EC50C0">
        <w:rPr>
          <w:b/>
        </w:rPr>
        <w:t xml:space="preserve"> Consultations</w:t>
      </w:r>
    </w:p>
    <w:p w14:paraId="07A0B8BF" w14:textId="77777777" w:rsidR="000578EF" w:rsidRPr="00EC50C0" w:rsidRDefault="000578EF" w:rsidP="000578EF">
      <w:pPr>
        <w:pStyle w:val="ListParagraph"/>
        <w:tabs>
          <w:tab w:val="left" w:pos="567"/>
        </w:tabs>
        <w:ind w:left="360"/>
        <w:rPr>
          <w:rFonts w:cs="Arial"/>
          <w:bCs/>
        </w:rPr>
      </w:pPr>
    </w:p>
    <w:p w14:paraId="3BDC3CFF" w14:textId="77777777" w:rsidR="000578EF" w:rsidRPr="00EC50C0" w:rsidRDefault="000578EF" w:rsidP="000578EF">
      <w:pPr>
        <w:pStyle w:val="ListParagraph"/>
        <w:numPr>
          <w:ilvl w:val="1"/>
          <w:numId w:val="1"/>
        </w:numPr>
        <w:ind w:left="0" w:hanging="6"/>
        <w:rPr>
          <w:rFonts w:cs="Arial"/>
        </w:rPr>
      </w:pPr>
      <w:r w:rsidRPr="00EC50C0">
        <w:t>The Processor undertakes to provide the Controller with the necessary assistance free of charge in carrying out an assessment of the impact of data processing operations on the protection of personal data, including providing the Controller with all technical and other available information, which is necessary for the assessment, about the processing of personal data managed by the Controller, where such processing is carried out or planned to be carried out by the Processor, and consultations on these issues. Where the Controller consults the supervisory authority pursuant to Article 36 of the GDPR, the Processor must provide all available information necessary for the consultation.</w:t>
      </w:r>
    </w:p>
    <w:p w14:paraId="0B1CD2AA" w14:textId="77777777" w:rsidR="000578EF" w:rsidRPr="00EC50C0" w:rsidRDefault="000578EF" w:rsidP="000578EF">
      <w:pPr>
        <w:contextualSpacing/>
        <w:rPr>
          <w:rFonts w:cs="Arial"/>
        </w:rPr>
      </w:pPr>
    </w:p>
    <w:p w14:paraId="6BCA76EE" w14:textId="77777777" w:rsidR="000578EF" w:rsidRPr="00EC50C0" w:rsidRDefault="000578EF" w:rsidP="000578EF">
      <w:pPr>
        <w:pStyle w:val="ListParagraph"/>
        <w:numPr>
          <w:ilvl w:val="0"/>
          <w:numId w:val="1"/>
        </w:numPr>
        <w:ind w:left="426" w:hanging="426"/>
        <w:rPr>
          <w:rFonts w:cs="Arial"/>
          <w:b/>
        </w:rPr>
      </w:pPr>
      <w:r w:rsidRPr="00EC50C0">
        <w:rPr>
          <w:b/>
        </w:rPr>
        <w:t>Auditing and Inspection of the Processor</w:t>
      </w:r>
    </w:p>
    <w:p w14:paraId="51418AFC" w14:textId="77777777" w:rsidR="000578EF" w:rsidRPr="00EC50C0" w:rsidRDefault="000578EF" w:rsidP="000578EF">
      <w:pPr>
        <w:pStyle w:val="ListParagraph"/>
        <w:ind w:left="284"/>
        <w:rPr>
          <w:rFonts w:cs="Arial"/>
          <w:b/>
        </w:rPr>
      </w:pPr>
    </w:p>
    <w:p w14:paraId="5A7DCF92"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undertakes to provide the Controller, according to the information available to it, with the information and assistance necessary to demonstrate that the processing of personal data complies with the requirements of the GDPR and the Agreement, as well as to assist the Controller or any other auditor authorised by the Controller in carrying out an audit of the processing of personal data, including on-the-spot inspections. </w:t>
      </w:r>
    </w:p>
    <w:p w14:paraId="2790EEB4"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Processor undertakes to ensure that supervisory authorities are able to carry out inspections of the Processor and/or the </w:t>
      </w:r>
      <w:r>
        <w:t>Sub-p</w:t>
      </w:r>
      <w:r w:rsidRPr="00EC50C0">
        <w:t>rocessors and to notify the Controller without delay of such inspections by the supervisory authorities in relation to the personal data managed by the Controller, unless the supervisory authority prohibits such notification.</w:t>
      </w:r>
    </w:p>
    <w:p w14:paraId="7E2240FC"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Controller undertakes to inform the Processor in advance of a planned audit within a reasonable period. The audit may only be carried out during the regular working hours of the </w:t>
      </w:r>
      <w:r w:rsidRPr="00EC50C0">
        <w:lastRenderedPageBreak/>
        <w:t xml:space="preserve">Processor in order not to unreasonably interfere with the activities of the Processor. The scope of the audit shall be limited to the extent necessary to ascertain the proper implementation of this Agreement and the applicable requirements of the Personal Data Protection Legislation. </w:t>
      </w:r>
    </w:p>
    <w:p w14:paraId="0323FC56" w14:textId="77777777" w:rsidR="000578EF" w:rsidRPr="00EC50C0" w:rsidRDefault="000578EF" w:rsidP="000578EF">
      <w:pPr>
        <w:contextualSpacing/>
        <w:rPr>
          <w:rFonts w:cs="Arial"/>
        </w:rPr>
      </w:pPr>
    </w:p>
    <w:p w14:paraId="16941B3A" w14:textId="77777777" w:rsidR="000578EF" w:rsidRPr="00EC50C0" w:rsidRDefault="000578EF" w:rsidP="000578EF">
      <w:pPr>
        <w:pStyle w:val="ListParagraph"/>
        <w:numPr>
          <w:ilvl w:val="0"/>
          <w:numId w:val="1"/>
        </w:numPr>
        <w:ind w:left="426" w:hanging="426"/>
        <w:rPr>
          <w:rFonts w:cs="Arial"/>
          <w:b/>
        </w:rPr>
      </w:pPr>
      <w:r w:rsidRPr="00EC50C0">
        <w:rPr>
          <w:b/>
        </w:rPr>
        <w:t>Validity of the Agreement</w:t>
      </w:r>
    </w:p>
    <w:p w14:paraId="4AE54B73" w14:textId="77777777" w:rsidR="000578EF" w:rsidRPr="00EC50C0" w:rsidRDefault="000578EF" w:rsidP="000578EF">
      <w:pPr>
        <w:pStyle w:val="ListParagraph"/>
        <w:ind w:left="284"/>
        <w:rPr>
          <w:rFonts w:cs="Arial"/>
          <w:b/>
        </w:rPr>
      </w:pPr>
    </w:p>
    <w:p w14:paraId="598C6147"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Agreement shall enter into force on the date of its signature. </w:t>
      </w:r>
    </w:p>
    <w:p w14:paraId="797CCD36" w14:textId="77777777" w:rsidR="000578EF" w:rsidRPr="00EC50C0" w:rsidRDefault="000578EF" w:rsidP="000578EF">
      <w:pPr>
        <w:pStyle w:val="ListParagraph"/>
        <w:numPr>
          <w:ilvl w:val="1"/>
          <w:numId w:val="1"/>
        </w:numPr>
        <w:tabs>
          <w:tab w:val="left" w:pos="567"/>
        </w:tabs>
        <w:ind w:left="0" w:firstLine="0"/>
        <w:rPr>
          <w:rFonts w:cs="Arial"/>
        </w:rPr>
      </w:pPr>
      <w:r w:rsidRPr="00EC50C0">
        <w:t>The processing of personal data by the Processor may continue for as long as the Main Contract is in force. Upon termination of the Main Contract, regardless of the legal basis for the termination of the Main Contract, the Processor shall cease the processing of the personal data entrusted to it by the Controller, unless a new contract is concluded with the Processor for the same subject-matter and the categories of personal data to be processed as well as the data subjects remain unchanged.</w:t>
      </w:r>
    </w:p>
    <w:p w14:paraId="43D98A73" w14:textId="77777777" w:rsidR="000578EF" w:rsidRPr="00EC50C0" w:rsidRDefault="000578EF" w:rsidP="000578EF">
      <w:pPr>
        <w:pStyle w:val="ListParagraph"/>
        <w:numPr>
          <w:ilvl w:val="1"/>
          <w:numId w:val="1"/>
        </w:numPr>
        <w:tabs>
          <w:tab w:val="left" w:pos="567"/>
        </w:tabs>
        <w:ind w:left="0" w:firstLine="0"/>
        <w:rPr>
          <w:rFonts w:cs="Arial"/>
        </w:rPr>
      </w:pPr>
      <w:r w:rsidRPr="00EC50C0">
        <w:t>The terms of the Agreement will remain in force for as long as the Processor processes the personal data in respect of which the Controller is the controller and all requirements of the Agreement are met.</w:t>
      </w:r>
    </w:p>
    <w:p w14:paraId="0BA1451B" w14:textId="77777777" w:rsidR="000578EF" w:rsidRPr="00EC50C0" w:rsidRDefault="000578EF" w:rsidP="000578EF">
      <w:pPr>
        <w:pStyle w:val="ListParagraph"/>
        <w:numPr>
          <w:ilvl w:val="1"/>
          <w:numId w:val="1"/>
        </w:numPr>
        <w:tabs>
          <w:tab w:val="left" w:pos="567"/>
        </w:tabs>
        <w:ind w:left="0" w:firstLine="0"/>
        <w:rPr>
          <w:rFonts w:cs="Arial"/>
        </w:rPr>
      </w:pPr>
      <w:r w:rsidRPr="00EC50C0">
        <w:t>Without prejudice to any provisions of the GDPR, in the event of a breach by the Processor of its obligations under this Agreement, the Controller may instruct the Processor to temporarily suspend the processing of personal data until the Processor complies with this Agreement or the Agreement is terminated. The Processor shall immediately inform the Controller if, for any reason, it is unable to comply with the Agreement.</w:t>
      </w:r>
    </w:p>
    <w:p w14:paraId="44E4E2CB" w14:textId="77777777" w:rsidR="000578EF" w:rsidRPr="00EC50C0" w:rsidRDefault="000578EF" w:rsidP="000578EF">
      <w:pPr>
        <w:pStyle w:val="ListParagraph"/>
        <w:numPr>
          <w:ilvl w:val="1"/>
          <w:numId w:val="1"/>
        </w:numPr>
        <w:tabs>
          <w:tab w:val="left" w:pos="567"/>
        </w:tabs>
        <w:ind w:left="0" w:firstLine="0"/>
        <w:rPr>
          <w:rFonts w:cs="Arial"/>
        </w:rPr>
      </w:pPr>
      <w:r w:rsidRPr="00EC50C0">
        <w:t>The confidentiality obligations with respect to personal data shall survive the termination of the Main Contract and/or the Agreement and shall continue in perpetuity.</w:t>
      </w:r>
    </w:p>
    <w:p w14:paraId="1BDD5240" w14:textId="77777777" w:rsidR="000578EF" w:rsidRPr="00EC50C0" w:rsidRDefault="000578EF" w:rsidP="000578EF">
      <w:pPr>
        <w:pStyle w:val="ListParagraph"/>
        <w:numPr>
          <w:ilvl w:val="1"/>
          <w:numId w:val="1"/>
        </w:numPr>
        <w:tabs>
          <w:tab w:val="left" w:pos="567"/>
        </w:tabs>
        <w:ind w:left="0" w:firstLine="0"/>
        <w:rPr>
          <w:rFonts w:cs="Arial"/>
        </w:rPr>
      </w:pPr>
      <w:r w:rsidRPr="00EC50C0">
        <w:t>The Controller shall have the right to immediately terminate the Agreement and prohibit the Processor from further processing personal data if the Processor fails to comply with its obligations under the Agreement, including, but not limited to, failure to comply with the Controller’s written (including in electronic format) instructions, a negative audit report on the processing of personal data, and failure to comply with the Personal Data Protection Legislation.</w:t>
      </w:r>
    </w:p>
    <w:p w14:paraId="14A92630" w14:textId="77777777" w:rsidR="000578EF" w:rsidRPr="00EC50C0" w:rsidRDefault="000578EF" w:rsidP="000578EF">
      <w:pPr>
        <w:pStyle w:val="ListParagraph"/>
        <w:numPr>
          <w:ilvl w:val="1"/>
          <w:numId w:val="1"/>
        </w:numPr>
        <w:tabs>
          <w:tab w:val="left" w:pos="567"/>
        </w:tabs>
        <w:ind w:left="0" w:firstLine="0"/>
        <w:rPr>
          <w:rFonts w:cs="Arial"/>
        </w:rPr>
      </w:pPr>
      <w:r w:rsidRPr="00EC50C0">
        <w:t>The Agreement shall take precedence over any similar provisions relating to the processing of personal data in other agreements between the Parties.</w:t>
      </w:r>
    </w:p>
    <w:p w14:paraId="382AB71C" w14:textId="77777777" w:rsidR="000578EF" w:rsidRPr="00EC50C0" w:rsidRDefault="000578EF" w:rsidP="000578EF">
      <w:pPr>
        <w:pStyle w:val="ListParagraph"/>
        <w:tabs>
          <w:tab w:val="left" w:pos="426"/>
        </w:tabs>
        <w:ind w:left="0"/>
        <w:rPr>
          <w:rFonts w:cs="Arial"/>
        </w:rPr>
      </w:pPr>
    </w:p>
    <w:p w14:paraId="59BF8570" w14:textId="77777777" w:rsidR="000578EF" w:rsidRPr="00EC50C0" w:rsidRDefault="000578EF" w:rsidP="000578EF">
      <w:pPr>
        <w:pStyle w:val="ListParagraph"/>
        <w:numPr>
          <w:ilvl w:val="0"/>
          <w:numId w:val="1"/>
        </w:numPr>
        <w:ind w:left="426" w:hanging="426"/>
        <w:rPr>
          <w:rFonts w:cs="Arial"/>
          <w:b/>
        </w:rPr>
      </w:pPr>
      <w:r w:rsidRPr="00EC50C0">
        <w:rPr>
          <w:b/>
        </w:rPr>
        <w:t>Measures to be Taken after the Processing of Personal Data</w:t>
      </w:r>
    </w:p>
    <w:p w14:paraId="236EF27B" w14:textId="77777777" w:rsidR="000578EF" w:rsidRPr="00EC50C0" w:rsidRDefault="000578EF" w:rsidP="000578EF">
      <w:pPr>
        <w:contextualSpacing/>
        <w:rPr>
          <w:rFonts w:cs="Arial"/>
        </w:rPr>
      </w:pPr>
    </w:p>
    <w:p w14:paraId="72591586" w14:textId="77777777" w:rsidR="000578EF" w:rsidRPr="00EC50C0" w:rsidRDefault="000578EF" w:rsidP="000578EF">
      <w:pPr>
        <w:pStyle w:val="ListParagraph"/>
        <w:widowControl w:val="0"/>
        <w:numPr>
          <w:ilvl w:val="1"/>
          <w:numId w:val="1"/>
        </w:numPr>
        <w:tabs>
          <w:tab w:val="left" w:pos="567"/>
        </w:tabs>
        <w:spacing w:after="160"/>
        <w:ind w:left="0" w:firstLine="0"/>
        <w:rPr>
          <w:rFonts w:cs="Arial"/>
        </w:rPr>
      </w:pPr>
      <w:r w:rsidRPr="00EC50C0">
        <w:t xml:space="preserve">Upon termination of the Agreement and the provision of services related to the processing of personal data, the Processor shall, at the option of the Controller, as set out in Annex 1 to the Agreement, Instructions for the Processing of Personal Data, erase and demonstrate to the Data Controller that it has done so, or return to the Controller all personal data it has received from the Controller on the basis of the Main Contract and the Agreement, except where personal data are required to be retained in accordance with the legislation of the European Union or a Member State. The Processor shall ensure that the </w:t>
      </w:r>
      <w:r>
        <w:t>Sub-p</w:t>
      </w:r>
      <w:r w:rsidRPr="00EC50C0">
        <w:t>rocessor(s) carry out the same actions.</w:t>
      </w:r>
    </w:p>
    <w:p w14:paraId="5E9BA266" w14:textId="77777777" w:rsidR="000578EF" w:rsidRPr="00EC50C0" w:rsidRDefault="000578EF" w:rsidP="000578EF">
      <w:pPr>
        <w:pStyle w:val="ListParagraph"/>
        <w:numPr>
          <w:ilvl w:val="1"/>
          <w:numId w:val="1"/>
        </w:numPr>
        <w:tabs>
          <w:tab w:val="left" w:pos="567"/>
        </w:tabs>
        <w:ind w:left="0" w:firstLine="0"/>
        <w:rPr>
          <w:rFonts w:cs="Arial"/>
        </w:rPr>
      </w:pPr>
      <w:r w:rsidRPr="00EC50C0">
        <w:t>At the request of the Controller, the Processor shall provide the Controller with a list of the measures taken to ensure the orderly termination of the processing of personal data.</w:t>
      </w:r>
    </w:p>
    <w:p w14:paraId="13B2127A" w14:textId="77777777" w:rsidR="000578EF" w:rsidRPr="00EC50C0" w:rsidRDefault="000578EF" w:rsidP="000578EF">
      <w:pPr>
        <w:contextualSpacing/>
        <w:rPr>
          <w:rFonts w:cs="Arial"/>
        </w:rPr>
      </w:pPr>
    </w:p>
    <w:p w14:paraId="317B899E" w14:textId="77777777" w:rsidR="000578EF" w:rsidRPr="00EC50C0" w:rsidRDefault="000578EF" w:rsidP="000578EF">
      <w:pPr>
        <w:pStyle w:val="ListParagraph"/>
        <w:numPr>
          <w:ilvl w:val="0"/>
          <w:numId w:val="1"/>
        </w:numPr>
        <w:ind w:left="426" w:hanging="426"/>
        <w:rPr>
          <w:rFonts w:cs="Arial"/>
          <w:b/>
        </w:rPr>
      </w:pPr>
      <w:r w:rsidRPr="00EC50C0">
        <w:rPr>
          <w:b/>
        </w:rPr>
        <w:t>Compensation</w:t>
      </w:r>
    </w:p>
    <w:p w14:paraId="6B5B4E2F" w14:textId="77777777" w:rsidR="000578EF" w:rsidRPr="00EC50C0" w:rsidRDefault="000578EF" w:rsidP="000578EF">
      <w:pPr>
        <w:pStyle w:val="ListParagraph"/>
        <w:ind w:left="284"/>
        <w:rPr>
          <w:rFonts w:cs="Arial"/>
          <w:b/>
        </w:rPr>
      </w:pPr>
    </w:p>
    <w:p w14:paraId="28D34E79" w14:textId="77777777" w:rsidR="000578EF" w:rsidRPr="00EC50C0" w:rsidRDefault="000578EF" w:rsidP="000578EF">
      <w:pPr>
        <w:pStyle w:val="ListParagraph"/>
        <w:numPr>
          <w:ilvl w:val="1"/>
          <w:numId w:val="1"/>
        </w:numPr>
        <w:tabs>
          <w:tab w:val="left" w:pos="567"/>
        </w:tabs>
        <w:ind w:left="0" w:firstLine="0"/>
        <w:rPr>
          <w:rFonts w:cs="Arial"/>
        </w:rPr>
      </w:pPr>
      <w:r w:rsidRPr="00EC50C0">
        <w:t>The Processor shall not be entitled to demand any additional compensation for the performance of its obligations under the Agreement.</w:t>
      </w:r>
    </w:p>
    <w:p w14:paraId="4D7632ED" w14:textId="77777777" w:rsidR="000578EF" w:rsidRPr="00EC50C0" w:rsidRDefault="000578EF" w:rsidP="000578EF">
      <w:pPr>
        <w:contextualSpacing/>
        <w:rPr>
          <w:rFonts w:cs="Arial"/>
        </w:rPr>
      </w:pPr>
    </w:p>
    <w:p w14:paraId="4A8C8610" w14:textId="77777777" w:rsidR="000578EF" w:rsidRPr="00EC50C0" w:rsidRDefault="000578EF" w:rsidP="000578EF">
      <w:pPr>
        <w:pStyle w:val="ListParagraph"/>
        <w:numPr>
          <w:ilvl w:val="0"/>
          <w:numId w:val="1"/>
        </w:numPr>
        <w:ind w:left="426" w:hanging="426"/>
        <w:rPr>
          <w:rFonts w:cs="Arial"/>
          <w:b/>
        </w:rPr>
      </w:pPr>
      <w:r w:rsidRPr="00EC50C0">
        <w:rPr>
          <w:b/>
        </w:rPr>
        <w:t>Liability</w:t>
      </w:r>
    </w:p>
    <w:p w14:paraId="0BFFF719" w14:textId="77777777" w:rsidR="000578EF" w:rsidRPr="00EC50C0" w:rsidRDefault="000578EF" w:rsidP="000578EF">
      <w:pPr>
        <w:pStyle w:val="ListParagraph"/>
        <w:ind w:left="284"/>
        <w:rPr>
          <w:rFonts w:cs="Arial"/>
          <w:b/>
        </w:rPr>
      </w:pPr>
    </w:p>
    <w:p w14:paraId="75B7210B"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If the Controller suspects that the Processor is not complying with this Agreement, the Controller shall inform the Processor in writing. Upon confirmation of the information that there is non-compliance with the provisions of this Agreement, the Controller shall give the Processor the right to fully remedy the breach within a period of 30 (thirty) calendar days (the notice period). If the </w:t>
      </w:r>
      <w:r w:rsidRPr="00EC50C0">
        <w:lastRenderedPageBreak/>
        <w:t>breach is not fully remedied, the Controller shall have the right to terminate the Main Contract without notice.</w:t>
      </w:r>
    </w:p>
    <w:p w14:paraId="0D7B8E39" w14:textId="77777777" w:rsidR="000578EF" w:rsidRPr="00EC50C0" w:rsidRDefault="000578EF" w:rsidP="000578EF">
      <w:pPr>
        <w:pStyle w:val="ListParagraph"/>
        <w:numPr>
          <w:ilvl w:val="1"/>
          <w:numId w:val="1"/>
        </w:numPr>
        <w:tabs>
          <w:tab w:val="left" w:pos="567"/>
        </w:tabs>
        <w:ind w:left="0" w:firstLine="0"/>
        <w:rPr>
          <w:rFonts w:cs="Arial"/>
        </w:rPr>
      </w:pPr>
      <w:r w:rsidRPr="00EC50C0">
        <w:t>The Processor shall not be subject to any limitations of liability under this Agreement, to the extent that such limitations of liability were provided for in the Main Contract. The Processor shall fully indemnify the Controller for any damage suffered by the Controller as a result of the Processor’s failure to comply with its obligations under the Agreement or the Personal Data Protection Legislation applicable to the Processor. Such damage shall include all costs incurred by the Controller, including but not limited to, fines, fees and other costs.</w:t>
      </w:r>
    </w:p>
    <w:p w14:paraId="580BD17C" w14:textId="77777777" w:rsidR="000578EF" w:rsidRPr="00EC50C0" w:rsidRDefault="000578EF" w:rsidP="000578EF">
      <w:pPr>
        <w:contextualSpacing/>
        <w:rPr>
          <w:rFonts w:cs="Arial"/>
        </w:rPr>
      </w:pPr>
    </w:p>
    <w:p w14:paraId="58706567" w14:textId="77777777" w:rsidR="000578EF" w:rsidRPr="00EC50C0" w:rsidRDefault="000578EF" w:rsidP="000578EF">
      <w:pPr>
        <w:pStyle w:val="ListParagraph"/>
        <w:numPr>
          <w:ilvl w:val="0"/>
          <w:numId w:val="1"/>
        </w:numPr>
        <w:ind w:left="426" w:hanging="426"/>
        <w:rPr>
          <w:rFonts w:cs="Arial"/>
        </w:rPr>
      </w:pPr>
      <w:r w:rsidRPr="00EC50C0">
        <w:rPr>
          <w:b/>
        </w:rPr>
        <w:t>Final Provisions</w:t>
      </w:r>
    </w:p>
    <w:p w14:paraId="6AEEF4B6" w14:textId="77777777" w:rsidR="000578EF" w:rsidRPr="00EC50C0" w:rsidRDefault="000578EF" w:rsidP="000578EF">
      <w:pPr>
        <w:contextualSpacing/>
        <w:rPr>
          <w:rFonts w:cs="Arial"/>
          <w:b/>
        </w:rPr>
      </w:pPr>
    </w:p>
    <w:p w14:paraId="6C2ED137" w14:textId="77777777" w:rsidR="000578EF" w:rsidRPr="00EC50C0" w:rsidRDefault="000578EF" w:rsidP="000578EF">
      <w:pPr>
        <w:pStyle w:val="ListParagraph"/>
        <w:numPr>
          <w:ilvl w:val="1"/>
          <w:numId w:val="1"/>
        </w:numPr>
        <w:tabs>
          <w:tab w:val="left" w:pos="567"/>
        </w:tabs>
        <w:ind w:left="0" w:firstLine="0"/>
        <w:rPr>
          <w:rFonts w:cs="Arial"/>
        </w:rPr>
      </w:pPr>
      <w:r w:rsidRPr="00EC50C0">
        <w:t>All disputes arising out of the performance of the Agreement shall be settled in the courts of the Republic of Lithuania. Information about bringing the matter before the court, information about the proceedings and the decision will be treated as confidential information by the Parties. This Agreement shall be governed by the law of the Republic of Lithuania.</w:t>
      </w:r>
    </w:p>
    <w:p w14:paraId="5B1D28C9" w14:textId="77777777" w:rsidR="000578EF" w:rsidRPr="00EC50C0" w:rsidRDefault="000578EF" w:rsidP="000578EF">
      <w:pPr>
        <w:pStyle w:val="ListParagraph"/>
        <w:numPr>
          <w:ilvl w:val="1"/>
          <w:numId w:val="1"/>
        </w:numPr>
        <w:tabs>
          <w:tab w:val="left" w:pos="567"/>
        </w:tabs>
        <w:ind w:left="0" w:firstLine="0"/>
        <w:rPr>
          <w:rFonts w:cs="Arial"/>
        </w:rPr>
      </w:pPr>
      <w:r w:rsidRPr="00EC50C0">
        <w:t xml:space="preserve">The Agreement shall be drawn up in 2 (two) copies, one for each Party. </w:t>
      </w:r>
    </w:p>
    <w:p w14:paraId="08B27FF7" w14:textId="77777777" w:rsidR="000578EF" w:rsidRPr="00EC50C0" w:rsidRDefault="000578EF" w:rsidP="000578EF">
      <w:pPr>
        <w:pStyle w:val="ListParagraph"/>
        <w:numPr>
          <w:ilvl w:val="1"/>
          <w:numId w:val="1"/>
        </w:numPr>
        <w:tabs>
          <w:tab w:val="left" w:pos="567"/>
        </w:tabs>
        <w:ind w:left="0" w:firstLine="0"/>
        <w:rPr>
          <w:rFonts w:cs="Arial"/>
        </w:rPr>
      </w:pPr>
      <w:r w:rsidRPr="00EC50C0">
        <w:t>The Agreement may be amended only by written agreement of both Parties.</w:t>
      </w:r>
    </w:p>
    <w:p w14:paraId="42E3CB25" w14:textId="77777777" w:rsidR="000578EF" w:rsidRPr="00EC50C0" w:rsidRDefault="000578EF" w:rsidP="000578EF">
      <w:pPr>
        <w:pStyle w:val="ListParagraph"/>
        <w:tabs>
          <w:tab w:val="left" w:pos="567"/>
        </w:tabs>
        <w:ind w:left="0"/>
        <w:rPr>
          <w:rFonts w:cs="Arial"/>
        </w:rPr>
      </w:pPr>
    </w:p>
    <w:p w14:paraId="37F52EEC" w14:textId="77777777" w:rsidR="000578EF" w:rsidRPr="00EC50C0" w:rsidRDefault="000578EF" w:rsidP="000578EF">
      <w:pPr>
        <w:contextualSpacing/>
        <w:rPr>
          <w:rFonts w:cs="Arial"/>
        </w:rPr>
      </w:pPr>
    </w:p>
    <w:tbl>
      <w:tblPr>
        <w:tblW w:w="0" w:type="auto"/>
        <w:tblCellMar>
          <w:left w:w="0" w:type="dxa"/>
          <w:right w:w="0" w:type="dxa"/>
        </w:tblCellMar>
        <w:tblLook w:val="04A0" w:firstRow="1" w:lastRow="0" w:firstColumn="1" w:lastColumn="0" w:noHBand="0" w:noVBand="1"/>
      </w:tblPr>
      <w:tblGrid>
        <w:gridCol w:w="4814"/>
        <w:gridCol w:w="4814"/>
      </w:tblGrid>
      <w:tr w:rsidR="000578EF" w:rsidRPr="00EC50C0" w14:paraId="4B9C8860" w14:textId="77777777" w:rsidTr="007D667D">
        <w:tc>
          <w:tcPr>
            <w:tcW w:w="4814" w:type="dxa"/>
            <w:shd w:val="clear" w:color="auto" w:fill="auto"/>
          </w:tcPr>
          <w:p w14:paraId="5415DD77" w14:textId="77777777" w:rsidR="000578EF" w:rsidRPr="00EC50C0" w:rsidRDefault="000578EF" w:rsidP="007D667D">
            <w:pPr>
              <w:ind w:left="34"/>
              <w:contextualSpacing/>
              <w:rPr>
                <w:rFonts w:cs="Arial"/>
                <w:b/>
              </w:rPr>
            </w:pPr>
            <w:r w:rsidRPr="00EC50C0">
              <w:rPr>
                <w:b/>
              </w:rPr>
              <w:t>On behalf of the Controller</w:t>
            </w:r>
          </w:p>
          <w:p w14:paraId="65DDEDE1" w14:textId="77777777" w:rsidR="000578EF" w:rsidRPr="00EC50C0" w:rsidRDefault="000578EF" w:rsidP="007D667D">
            <w:pPr>
              <w:contextualSpacing/>
              <w:rPr>
                <w:rFonts w:cs="Arial"/>
              </w:rPr>
            </w:pPr>
          </w:p>
        </w:tc>
        <w:tc>
          <w:tcPr>
            <w:tcW w:w="4814" w:type="dxa"/>
            <w:shd w:val="clear" w:color="auto" w:fill="auto"/>
          </w:tcPr>
          <w:p w14:paraId="0DFBADCD" w14:textId="77777777" w:rsidR="000578EF" w:rsidRPr="00EC50C0" w:rsidRDefault="000578EF" w:rsidP="007D667D">
            <w:pPr>
              <w:contextualSpacing/>
              <w:rPr>
                <w:rFonts w:cs="Arial"/>
                <w:b/>
              </w:rPr>
            </w:pPr>
            <w:r w:rsidRPr="00EC50C0">
              <w:rPr>
                <w:b/>
              </w:rPr>
              <w:t>On behalf of the Processor</w:t>
            </w:r>
          </w:p>
          <w:p w14:paraId="0B475BE1" w14:textId="77777777" w:rsidR="000578EF" w:rsidRPr="00EC50C0" w:rsidRDefault="000578EF" w:rsidP="007D667D">
            <w:pPr>
              <w:contextualSpacing/>
              <w:rPr>
                <w:rFonts w:cs="Arial"/>
              </w:rPr>
            </w:pPr>
          </w:p>
        </w:tc>
      </w:tr>
      <w:tr w:rsidR="000578EF" w:rsidRPr="00EC50C0" w14:paraId="2C8FD763" w14:textId="77777777" w:rsidTr="007D667D">
        <w:tc>
          <w:tcPr>
            <w:tcW w:w="4814" w:type="dxa"/>
            <w:shd w:val="clear" w:color="auto" w:fill="auto"/>
          </w:tcPr>
          <w:p w14:paraId="4F28A936" w14:textId="77777777" w:rsidR="000578EF" w:rsidRPr="00EC50C0" w:rsidRDefault="000578EF" w:rsidP="007D667D">
            <w:pPr>
              <w:contextualSpacing/>
              <w:rPr>
                <w:rFonts w:cs="Arial"/>
                <w:bCs/>
              </w:rPr>
            </w:pPr>
            <w:r w:rsidRPr="00EC50C0">
              <w:t>[</w:t>
            </w:r>
            <w:r w:rsidRPr="00EC50C0">
              <w:rPr>
                <w:i/>
                <w:highlight w:val="yellow"/>
              </w:rPr>
              <w:t xml:space="preserve">specify the position, </w:t>
            </w:r>
            <w:r>
              <w:rPr>
                <w:i/>
                <w:highlight w:val="yellow"/>
              </w:rPr>
              <w:t xml:space="preserve">full </w:t>
            </w:r>
            <w:r w:rsidRPr="00EC50C0">
              <w:rPr>
                <w:i/>
                <w:highlight w:val="yellow"/>
              </w:rPr>
              <w:t>name</w:t>
            </w:r>
            <w:r w:rsidRPr="00EC50C0">
              <w:t>]</w:t>
            </w:r>
          </w:p>
          <w:p w14:paraId="65F04A64" w14:textId="77777777" w:rsidR="000578EF" w:rsidRPr="00EC50C0" w:rsidRDefault="000578EF" w:rsidP="007D667D">
            <w:pPr>
              <w:contextualSpacing/>
              <w:rPr>
                <w:rFonts w:cs="Arial"/>
                <w:bCs/>
                <w:highlight w:val="yellow"/>
              </w:rPr>
            </w:pPr>
          </w:p>
          <w:p w14:paraId="4E62CCFF" w14:textId="77777777" w:rsidR="000578EF" w:rsidRPr="00EC50C0" w:rsidRDefault="000578EF" w:rsidP="007D667D">
            <w:pPr>
              <w:contextualSpacing/>
              <w:rPr>
                <w:rFonts w:cs="Arial"/>
                <w:bCs/>
              </w:rPr>
            </w:pPr>
            <w:r w:rsidRPr="00EC50C0">
              <w:t>____________________________</w:t>
            </w:r>
          </w:p>
        </w:tc>
        <w:tc>
          <w:tcPr>
            <w:tcW w:w="4814" w:type="dxa"/>
            <w:shd w:val="clear" w:color="auto" w:fill="auto"/>
          </w:tcPr>
          <w:p w14:paraId="3F5F3757" w14:textId="77777777" w:rsidR="000578EF" w:rsidRPr="00EC50C0" w:rsidRDefault="000578EF" w:rsidP="007D667D">
            <w:pPr>
              <w:contextualSpacing/>
              <w:rPr>
                <w:rFonts w:cs="Arial"/>
                <w:bCs/>
              </w:rPr>
            </w:pPr>
            <w:r w:rsidRPr="00EC50C0">
              <w:t>[</w:t>
            </w:r>
            <w:r w:rsidRPr="00EC50C0">
              <w:rPr>
                <w:i/>
                <w:highlight w:val="yellow"/>
              </w:rPr>
              <w:t xml:space="preserve">specify the position, </w:t>
            </w:r>
            <w:r>
              <w:rPr>
                <w:i/>
                <w:highlight w:val="yellow"/>
              </w:rPr>
              <w:t xml:space="preserve">full </w:t>
            </w:r>
            <w:r w:rsidRPr="00EC50C0">
              <w:rPr>
                <w:i/>
                <w:highlight w:val="yellow"/>
              </w:rPr>
              <w:t>name</w:t>
            </w:r>
            <w:r w:rsidRPr="00EC50C0">
              <w:t>]</w:t>
            </w:r>
          </w:p>
          <w:p w14:paraId="42DAE33D" w14:textId="77777777" w:rsidR="000578EF" w:rsidRPr="00EC50C0" w:rsidRDefault="000578EF" w:rsidP="007D667D">
            <w:pPr>
              <w:contextualSpacing/>
              <w:rPr>
                <w:rFonts w:cs="Arial"/>
                <w:bCs/>
              </w:rPr>
            </w:pPr>
          </w:p>
          <w:p w14:paraId="624C84CF" w14:textId="77777777" w:rsidR="000578EF" w:rsidRPr="00EC50C0" w:rsidRDefault="000578EF" w:rsidP="007D667D">
            <w:pPr>
              <w:contextualSpacing/>
              <w:rPr>
                <w:rFonts w:cs="Arial"/>
                <w:bCs/>
              </w:rPr>
            </w:pPr>
            <w:r w:rsidRPr="00EC50C0">
              <w:t>____________________________</w:t>
            </w:r>
          </w:p>
        </w:tc>
      </w:tr>
    </w:tbl>
    <w:p w14:paraId="2546B0CE" w14:textId="77777777" w:rsidR="000578EF" w:rsidRPr="00EC50C0" w:rsidRDefault="000578EF" w:rsidP="000578EF">
      <w:pPr>
        <w:contextualSpacing/>
        <w:rPr>
          <w:rFonts w:cs="Arial"/>
        </w:rPr>
      </w:pPr>
    </w:p>
    <w:p w14:paraId="23F99F63" w14:textId="77777777" w:rsidR="000578EF" w:rsidRPr="00EC50C0" w:rsidRDefault="000578EF" w:rsidP="000578EF">
      <w:pPr>
        <w:contextualSpacing/>
        <w:rPr>
          <w:rFonts w:cs="Arial"/>
        </w:rPr>
        <w:sectPr w:rsidR="000578EF" w:rsidRPr="00EC50C0" w:rsidSect="000578EF">
          <w:footerReference w:type="default" r:id="rId9"/>
          <w:headerReference w:type="first" r:id="rId10"/>
          <w:footerReference w:type="first" r:id="rId11"/>
          <w:pgSz w:w="11906" w:h="16838"/>
          <w:pgMar w:top="1701" w:right="567" w:bottom="709" w:left="1701" w:header="567" w:footer="567" w:gutter="0"/>
          <w:cols w:space="1296"/>
          <w:docGrid w:linePitch="360"/>
        </w:sectPr>
      </w:pPr>
    </w:p>
    <w:p w14:paraId="3A64568E" w14:textId="77777777" w:rsidR="000578EF" w:rsidRPr="00EC50C0" w:rsidRDefault="000578EF" w:rsidP="000578EF">
      <w:pPr>
        <w:ind w:left="5760"/>
        <w:contextualSpacing/>
        <w:jc w:val="right"/>
        <w:rPr>
          <w:rFonts w:cs="Arial"/>
          <w:b/>
          <w:bCs/>
        </w:rPr>
      </w:pPr>
      <w:r w:rsidRPr="00EC50C0">
        <w:rPr>
          <w:b/>
        </w:rPr>
        <w:lastRenderedPageBreak/>
        <w:t xml:space="preserve">Data Processing Agreement </w:t>
      </w:r>
    </w:p>
    <w:p w14:paraId="36596B44" w14:textId="77777777" w:rsidR="000578EF" w:rsidRPr="00EC50C0" w:rsidRDefault="000578EF" w:rsidP="000578EF">
      <w:pPr>
        <w:ind w:left="5760"/>
        <w:contextualSpacing/>
        <w:jc w:val="right"/>
        <w:rPr>
          <w:rFonts w:cs="Arial"/>
          <w:b/>
          <w:bCs/>
        </w:rPr>
      </w:pPr>
      <w:r w:rsidRPr="00EC50C0">
        <w:rPr>
          <w:b/>
        </w:rPr>
        <w:t>Annex 1</w:t>
      </w:r>
    </w:p>
    <w:p w14:paraId="1F74D5D7" w14:textId="77777777" w:rsidR="000578EF" w:rsidRPr="00EC50C0" w:rsidRDefault="000578EF" w:rsidP="000578EF">
      <w:pPr>
        <w:contextualSpacing/>
        <w:jc w:val="center"/>
        <w:rPr>
          <w:rFonts w:cs="Arial"/>
          <w:b/>
        </w:rPr>
      </w:pPr>
    </w:p>
    <w:p w14:paraId="603C4D2E" w14:textId="77777777" w:rsidR="000578EF" w:rsidRPr="00EC50C0" w:rsidRDefault="000578EF" w:rsidP="000578EF">
      <w:pPr>
        <w:contextualSpacing/>
        <w:jc w:val="center"/>
        <w:rPr>
          <w:rFonts w:cs="Arial"/>
        </w:rPr>
      </w:pPr>
    </w:p>
    <w:p w14:paraId="0469C0C5" w14:textId="77777777" w:rsidR="000578EF" w:rsidRPr="00EC50C0" w:rsidRDefault="000578EF" w:rsidP="000578EF">
      <w:pPr>
        <w:contextualSpacing/>
        <w:jc w:val="center"/>
        <w:rPr>
          <w:rFonts w:cs="Arial"/>
        </w:rPr>
      </w:pPr>
    </w:p>
    <w:p w14:paraId="6814FDFC" w14:textId="77777777" w:rsidR="000578EF" w:rsidRPr="00EC50C0" w:rsidRDefault="000578EF" w:rsidP="000578EF">
      <w:pPr>
        <w:pStyle w:val="ListParagraph"/>
        <w:numPr>
          <w:ilvl w:val="0"/>
          <w:numId w:val="7"/>
        </w:numPr>
        <w:spacing w:after="160" w:line="259" w:lineRule="auto"/>
        <w:jc w:val="center"/>
        <w:rPr>
          <w:rFonts w:cs="Arial"/>
          <w:b/>
        </w:rPr>
      </w:pPr>
      <w:r w:rsidRPr="00EC50C0">
        <w:rPr>
          <w:b/>
        </w:rPr>
        <w:t>Instructions for the Processing of Personal Data</w:t>
      </w:r>
    </w:p>
    <w:p w14:paraId="0860A423" w14:textId="77777777" w:rsidR="000578EF" w:rsidRPr="00EC50C0" w:rsidRDefault="000578EF" w:rsidP="000578EF">
      <w:pPr>
        <w:contextualSpacing/>
        <w:jc w:val="center"/>
        <w:rPr>
          <w:rFonts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10"/>
        <w:gridCol w:w="6662"/>
      </w:tblGrid>
      <w:tr w:rsidR="000578EF" w:rsidRPr="00EC50C0" w14:paraId="05ABF562" w14:textId="77777777" w:rsidTr="007D667D">
        <w:trPr>
          <w:trHeight w:val="842"/>
        </w:trPr>
        <w:tc>
          <w:tcPr>
            <w:tcW w:w="562" w:type="dxa"/>
          </w:tcPr>
          <w:p w14:paraId="7E85824A" w14:textId="77777777" w:rsidR="000578EF" w:rsidRPr="00EC50C0" w:rsidRDefault="000578EF" w:rsidP="000578EF">
            <w:pPr>
              <w:pStyle w:val="ListParagraph"/>
              <w:numPr>
                <w:ilvl w:val="1"/>
                <w:numId w:val="7"/>
              </w:numPr>
              <w:spacing w:after="160" w:line="259" w:lineRule="auto"/>
              <w:jc w:val="left"/>
              <w:rPr>
                <w:rFonts w:cs="Arial"/>
                <w:b/>
              </w:rPr>
            </w:pPr>
          </w:p>
        </w:tc>
        <w:tc>
          <w:tcPr>
            <w:tcW w:w="2410" w:type="dxa"/>
          </w:tcPr>
          <w:p w14:paraId="62E45E32" w14:textId="77777777" w:rsidR="000578EF" w:rsidRPr="00EC50C0" w:rsidRDefault="000578EF" w:rsidP="007D667D">
            <w:pPr>
              <w:contextualSpacing/>
              <w:rPr>
                <w:rFonts w:cs="Arial"/>
                <w:b/>
              </w:rPr>
            </w:pPr>
            <w:r w:rsidRPr="00EC50C0">
              <w:rPr>
                <w:b/>
              </w:rPr>
              <w:t>Purpose of the processing of personal data:</w:t>
            </w:r>
          </w:p>
        </w:tc>
        <w:tc>
          <w:tcPr>
            <w:tcW w:w="6662" w:type="dxa"/>
          </w:tcPr>
          <w:p w14:paraId="6DFE942E" w14:textId="77777777" w:rsidR="000578EF" w:rsidRPr="00EC50C0" w:rsidRDefault="000578EF" w:rsidP="007D667D">
            <w:pPr>
              <w:rPr>
                <w:rFonts w:eastAsia="Times New Roman" w:cs="Arial"/>
                <w:i/>
                <w:iCs/>
              </w:rPr>
            </w:pPr>
            <w:r w:rsidRPr="00EC50C0">
              <w:t>[</w:t>
            </w:r>
            <w:r w:rsidRPr="00EC50C0">
              <w:rPr>
                <w:i/>
                <w:highlight w:val="yellow"/>
              </w:rPr>
              <w:t>Describe the purpose of the processing of personal data in a clear and specific manner, i.e. in sufficient detail to identify the type of processing involved and to assess whether the specific purpose is compatible with the requirements of the law</w:t>
            </w:r>
            <w:r w:rsidRPr="00EC50C0">
              <w:t>].</w:t>
            </w:r>
          </w:p>
          <w:p w14:paraId="5A8797C1" w14:textId="77777777" w:rsidR="000578EF" w:rsidRPr="00EC50C0" w:rsidRDefault="000578EF" w:rsidP="007D667D">
            <w:pPr>
              <w:rPr>
                <w:rFonts w:eastAsia="Times New Roman" w:cs="Arial"/>
                <w:i/>
                <w:iCs/>
              </w:rPr>
            </w:pPr>
          </w:p>
          <w:p w14:paraId="1ED5A873" w14:textId="77777777" w:rsidR="000578EF" w:rsidRPr="00EC50C0" w:rsidRDefault="000578EF" w:rsidP="007D667D">
            <w:pPr>
              <w:contextualSpacing/>
              <w:rPr>
                <w:rFonts w:cs="Arial"/>
              </w:rPr>
            </w:pPr>
            <w:r w:rsidRPr="00EC50C0">
              <w:rPr>
                <w:i/>
                <w:highlight w:val="yellow"/>
              </w:rPr>
              <w:t xml:space="preserve">[EXAMPLES. </w:t>
            </w:r>
            <w:r w:rsidRPr="00EC50C0">
              <w:rPr>
                <w:i/>
                <w:iCs/>
                <w:highlight w:val="yellow"/>
              </w:rPr>
              <w:t>‘Drafting of the controller’s documents for storage in accordance with the requirements of the Law of the Republic of Lithuania on Documents and Archives and of the Chief Archivist of Lithuania, or for the destruction of the documents if the retention period thereof has expired’, ‘Storage of personal data of the controller’]</w:t>
            </w:r>
          </w:p>
        </w:tc>
      </w:tr>
      <w:tr w:rsidR="000578EF" w:rsidRPr="00EC50C0" w14:paraId="799D153F" w14:textId="77777777" w:rsidTr="007D667D">
        <w:tc>
          <w:tcPr>
            <w:tcW w:w="562" w:type="dxa"/>
          </w:tcPr>
          <w:p w14:paraId="30F16D85" w14:textId="77777777" w:rsidR="000578EF" w:rsidRPr="00EC50C0" w:rsidRDefault="000578EF" w:rsidP="000578EF">
            <w:pPr>
              <w:pStyle w:val="ListParagraph"/>
              <w:numPr>
                <w:ilvl w:val="1"/>
                <w:numId w:val="7"/>
              </w:numPr>
              <w:spacing w:after="160" w:line="259" w:lineRule="auto"/>
              <w:jc w:val="left"/>
              <w:rPr>
                <w:rFonts w:cs="Arial"/>
                <w:b/>
              </w:rPr>
            </w:pPr>
          </w:p>
        </w:tc>
        <w:tc>
          <w:tcPr>
            <w:tcW w:w="2410" w:type="dxa"/>
          </w:tcPr>
          <w:p w14:paraId="390354A5" w14:textId="77777777" w:rsidR="000578EF" w:rsidRPr="00EC50C0" w:rsidRDefault="000578EF" w:rsidP="007D667D">
            <w:pPr>
              <w:contextualSpacing/>
              <w:rPr>
                <w:rFonts w:cs="Arial"/>
                <w:b/>
              </w:rPr>
            </w:pPr>
            <w:r w:rsidRPr="00EC50C0">
              <w:rPr>
                <w:b/>
              </w:rPr>
              <w:t>Categories of personal data processed:</w:t>
            </w:r>
          </w:p>
        </w:tc>
        <w:tc>
          <w:tcPr>
            <w:tcW w:w="6662" w:type="dxa"/>
          </w:tcPr>
          <w:p w14:paraId="4FD302CD" w14:textId="77777777" w:rsidR="000578EF" w:rsidRPr="00EC50C0" w:rsidRDefault="000578EF" w:rsidP="007D667D">
            <w:pPr>
              <w:rPr>
                <w:rFonts w:eastAsia="Times New Roman" w:cs="Arial"/>
                <w:i/>
                <w:iCs/>
              </w:rPr>
            </w:pPr>
            <w:r w:rsidRPr="00EC50C0">
              <w:rPr>
                <w:i/>
              </w:rPr>
              <w:t>[</w:t>
            </w:r>
            <w:r w:rsidRPr="00EC50C0">
              <w:rPr>
                <w:i/>
                <w:highlight w:val="yellow"/>
              </w:rPr>
              <w:t>Describe the categories of personal data that will be made available to the other Party</w:t>
            </w:r>
            <w:r w:rsidRPr="00EC50C0">
              <w:rPr>
                <w:i/>
              </w:rPr>
              <w:t>].</w:t>
            </w:r>
          </w:p>
          <w:p w14:paraId="6D1F4989" w14:textId="77777777" w:rsidR="000578EF" w:rsidRPr="00EC50C0" w:rsidRDefault="000578EF" w:rsidP="007D667D">
            <w:pPr>
              <w:rPr>
                <w:rFonts w:eastAsia="Times New Roman" w:cs="Arial"/>
              </w:rPr>
            </w:pPr>
          </w:p>
          <w:p w14:paraId="64550F84" w14:textId="77777777" w:rsidR="000578EF" w:rsidRPr="00EC50C0" w:rsidRDefault="000578EF" w:rsidP="007D667D">
            <w:pPr>
              <w:rPr>
                <w:rFonts w:eastAsia="Times New Roman" w:cs="Arial"/>
                <w:i/>
                <w:iCs/>
              </w:rPr>
            </w:pPr>
            <w:r w:rsidRPr="00EC50C0">
              <w:rPr>
                <w:i/>
              </w:rPr>
              <w:t>[</w:t>
            </w:r>
            <w:r w:rsidRPr="00EC50C0">
              <w:rPr>
                <w:i/>
                <w:highlight w:val="yellow"/>
              </w:rPr>
              <w:t>EXAMPLE. Name, email address, telephone number, residential address, national identification number (identification number), payment details, membership number, type of membership</w:t>
            </w:r>
            <w:r w:rsidRPr="00EC50C0">
              <w:rPr>
                <w:i/>
              </w:rPr>
              <w:t xml:space="preserve">]. </w:t>
            </w:r>
          </w:p>
          <w:p w14:paraId="2E4139CF" w14:textId="77777777" w:rsidR="000578EF" w:rsidRPr="00EC50C0" w:rsidRDefault="000578EF" w:rsidP="007D667D">
            <w:pPr>
              <w:rPr>
                <w:rFonts w:eastAsia="Times New Roman" w:cs="Arial"/>
              </w:rPr>
            </w:pPr>
          </w:p>
          <w:p w14:paraId="17538189" w14:textId="77777777" w:rsidR="000578EF" w:rsidRPr="00EC50C0" w:rsidRDefault="000578EF" w:rsidP="007D667D">
            <w:pPr>
              <w:contextualSpacing/>
              <w:rPr>
                <w:rFonts w:cs="Arial"/>
              </w:rPr>
            </w:pPr>
            <w:r w:rsidRPr="00EC50C0">
              <w:rPr>
                <w:i/>
              </w:rPr>
              <w:t>[</w:t>
            </w:r>
            <w:r w:rsidRPr="00EC50C0">
              <w:rPr>
                <w:i/>
                <w:highlight w:val="yellow"/>
              </w:rPr>
              <w:t>NOTE. The description should be as detailed as possible, not limited to statements such as ‘personal data as defined in Article 4(1) of the GDPR’, or to the mere reference to a category of personal data (i.e. Articles 6, 9 and/or 10 of the GDPR)</w:t>
            </w:r>
            <w:r w:rsidRPr="00EC50C0">
              <w:rPr>
                <w:i/>
              </w:rPr>
              <w:t>].</w:t>
            </w:r>
          </w:p>
        </w:tc>
      </w:tr>
      <w:tr w:rsidR="000578EF" w:rsidRPr="00EC50C0" w14:paraId="4E9C3EF5" w14:textId="77777777" w:rsidTr="007D667D">
        <w:tc>
          <w:tcPr>
            <w:tcW w:w="562" w:type="dxa"/>
          </w:tcPr>
          <w:p w14:paraId="1A44FFBC" w14:textId="77777777" w:rsidR="000578EF" w:rsidRPr="00EC50C0" w:rsidRDefault="000578EF" w:rsidP="000578EF">
            <w:pPr>
              <w:pStyle w:val="ListParagraph"/>
              <w:numPr>
                <w:ilvl w:val="1"/>
                <w:numId w:val="7"/>
              </w:numPr>
              <w:spacing w:after="160" w:line="259" w:lineRule="auto"/>
              <w:jc w:val="left"/>
              <w:rPr>
                <w:rFonts w:cs="Arial"/>
                <w:b/>
              </w:rPr>
            </w:pPr>
          </w:p>
        </w:tc>
        <w:tc>
          <w:tcPr>
            <w:tcW w:w="2410" w:type="dxa"/>
          </w:tcPr>
          <w:p w14:paraId="64138DDC" w14:textId="77777777" w:rsidR="000578EF" w:rsidRPr="00EC50C0" w:rsidRDefault="000578EF" w:rsidP="007D667D">
            <w:pPr>
              <w:contextualSpacing/>
              <w:rPr>
                <w:rFonts w:cs="Arial"/>
                <w:b/>
              </w:rPr>
            </w:pPr>
            <w:r w:rsidRPr="00EC50C0">
              <w:rPr>
                <w:b/>
              </w:rPr>
              <w:t>Categories of data subjects:</w:t>
            </w:r>
          </w:p>
        </w:tc>
        <w:tc>
          <w:tcPr>
            <w:tcW w:w="6662" w:type="dxa"/>
          </w:tcPr>
          <w:p w14:paraId="5D362476" w14:textId="77777777" w:rsidR="000578EF" w:rsidRPr="00EC50C0" w:rsidRDefault="000578EF" w:rsidP="007D667D">
            <w:pPr>
              <w:contextualSpacing/>
              <w:rPr>
                <w:rFonts w:cs="Arial"/>
              </w:rPr>
            </w:pPr>
            <w:r w:rsidRPr="00EC50C0">
              <w:t>[</w:t>
            </w:r>
            <w:r w:rsidRPr="00EC50C0">
              <w:rPr>
                <w:i/>
                <w:highlight w:val="yellow"/>
              </w:rPr>
              <w:t>specify the categories of data subjects whose personal data will be made available to the other Party</w:t>
            </w:r>
            <w:r w:rsidRPr="00EC50C0">
              <w:t>]</w:t>
            </w:r>
          </w:p>
          <w:p w14:paraId="0121A028" w14:textId="77777777" w:rsidR="000578EF" w:rsidRPr="00EC50C0" w:rsidRDefault="000578EF" w:rsidP="007D667D">
            <w:pPr>
              <w:contextualSpacing/>
              <w:rPr>
                <w:rFonts w:cs="Arial"/>
              </w:rPr>
            </w:pPr>
          </w:p>
          <w:p w14:paraId="0209D77B" w14:textId="77777777" w:rsidR="000578EF" w:rsidRPr="00EC50C0" w:rsidRDefault="000578EF" w:rsidP="007D667D">
            <w:pPr>
              <w:contextualSpacing/>
              <w:rPr>
                <w:rFonts w:cs="Arial"/>
                <w:i/>
                <w:iCs/>
              </w:rPr>
            </w:pPr>
            <w:r w:rsidRPr="00EC50C0">
              <w:rPr>
                <w:i/>
              </w:rPr>
              <w:t>[</w:t>
            </w:r>
            <w:r w:rsidRPr="00EC50C0">
              <w:rPr>
                <w:i/>
                <w:highlight w:val="yellow"/>
              </w:rPr>
              <w:t>EXAMPLE. Employees, partners, Persons who are members of the Controller’s loyalty programme, natural persons who have registered to receive emails, children who are offered information society services, customers from third countries, etc.]</w:t>
            </w:r>
          </w:p>
        </w:tc>
      </w:tr>
      <w:tr w:rsidR="000578EF" w:rsidRPr="00EC50C0" w14:paraId="40C49880" w14:textId="77777777" w:rsidTr="007D667D">
        <w:tc>
          <w:tcPr>
            <w:tcW w:w="562" w:type="dxa"/>
          </w:tcPr>
          <w:p w14:paraId="5B2827F6" w14:textId="77777777" w:rsidR="000578EF" w:rsidRPr="00EC50C0" w:rsidRDefault="000578EF" w:rsidP="000578EF">
            <w:pPr>
              <w:pStyle w:val="ListParagraph"/>
              <w:numPr>
                <w:ilvl w:val="1"/>
                <w:numId w:val="7"/>
              </w:numPr>
              <w:spacing w:after="160" w:line="259" w:lineRule="auto"/>
              <w:jc w:val="left"/>
              <w:rPr>
                <w:rFonts w:cs="Arial"/>
                <w:b/>
              </w:rPr>
            </w:pPr>
          </w:p>
        </w:tc>
        <w:tc>
          <w:tcPr>
            <w:tcW w:w="2410" w:type="dxa"/>
          </w:tcPr>
          <w:p w14:paraId="2E91E9A0" w14:textId="77777777" w:rsidR="000578EF" w:rsidRPr="00EC50C0" w:rsidRDefault="000578EF" w:rsidP="007D667D">
            <w:pPr>
              <w:contextualSpacing/>
              <w:rPr>
                <w:rFonts w:cs="Arial"/>
                <w:b/>
              </w:rPr>
            </w:pPr>
            <w:r w:rsidRPr="00EC50C0">
              <w:rPr>
                <w:b/>
              </w:rPr>
              <w:t>Personal data processing operations carried out by the Processor:</w:t>
            </w:r>
          </w:p>
        </w:tc>
        <w:tc>
          <w:tcPr>
            <w:tcW w:w="6662" w:type="dxa"/>
          </w:tcPr>
          <w:p w14:paraId="2EBC7020" w14:textId="77777777" w:rsidR="000578EF" w:rsidRPr="00EC50C0" w:rsidRDefault="000578EF" w:rsidP="007D667D">
            <w:pPr>
              <w:contextualSpacing/>
              <w:rPr>
                <w:rFonts w:cs="Arial"/>
              </w:rPr>
            </w:pPr>
            <w:r w:rsidRPr="00EC50C0">
              <w:t>[</w:t>
            </w:r>
            <w:r w:rsidRPr="00EC50C0">
              <w:rPr>
                <w:i/>
                <w:highlight w:val="yellow"/>
              </w:rPr>
              <w:t>specify the operations carried out by the Processor</w:t>
            </w:r>
            <w:r w:rsidRPr="00EC50C0">
              <w:t>]</w:t>
            </w:r>
          </w:p>
          <w:p w14:paraId="0E263CAB" w14:textId="77777777" w:rsidR="000578EF" w:rsidRPr="00EC50C0" w:rsidRDefault="000578EF" w:rsidP="007D667D">
            <w:pPr>
              <w:contextualSpacing/>
              <w:rPr>
                <w:rFonts w:cs="Arial"/>
              </w:rPr>
            </w:pPr>
          </w:p>
          <w:p w14:paraId="6BF212B5" w14:textId="77777777" w:rsidR="000578EF" w:rsidRPr="00EC50C0" w:rsidRDefault="000578EF" w:rsidP="007D667D">
            <w:pPr>
              <w:contextualSpacing/>
              <w:rPr>
                <w:rFonts w:cs="Arial"/>
                <w:i/>
                <w:iCs/>
              </w:rPr>
            </w:pPr>
            <w:r w:rsidRPr="00EC50C0">
              <w:rPr>
                <w:i/>
                <w:highlight w:val="yellow"/>
              </w:rPr>
              <w:t>[NOTE. If several processing operations are carried out, the following sections must be completed for each processing activity].</w:t>
            </w:r>
          </w:p>
        </w:tc>
      </w:tr>
      <w:tr w:rsidR="000578EF" w:rsidRPr="00EC50C0" w14:paraId="5C5152FF" w14:textId="77777777" w:rsidTr="007D667D">
        <w:tc>
          <w:tcPr>
            <w:tcW w:w="562" w:type="dxa"/>
          </w:tcPr>
          <w:p w14:paraId="511B2BF5" w14:textId="77777777" w:rsidR="000578EF" w:rsidRPr="00EC50C0" w:rsidRDefault="000578EF" w:rsidP="000578EF">
            <w:pPr>
              <w:pStyle w:val="ListParagraph"/>
              <w:numPr>
                <w:ilvl w:val="1"/>
                <w:numId w:val="7"/>
              </w:numPr>
              <w:spacing w:after="160" w:line="259" w:lineRule="auto"/>
              <w:jc w:val="left"/>
              <w:rPr>
                <w:rFonts w:cs="Arial"/>
                <w:b/>
              </w:rPr>
            </w:pPr>
          </w:p>
        </w:tc>
        <w:tc>
          <w:tcPr>
            <w:tcW w:w="2410" w:type="dxa"/>
          </w:tcPr>
          <w:p w14:paraId="1A723E75" w14:textId="77777777" w:rsidR="000578EF" w:rsidRPr="00EC50C0" w:rsidRDefault="000578EF" w:rsidP="007D667D">
            <w:pPr>
              <w:contextualSpacing/>
              <w:rPr>
                <w:rFonts w:cs="Arial"/>
              </w:rPr>
            </w:pPr>
            <w:r w:rsidRPr="0035449F">
              <w:rPr>
                <w:rFonts w:cs="Arial"/>
                <w:b/>
              </w:rPr>
              <w:t>Place of performance of personal data processing operations</w:t>
            </w:r>
            <w:r w:rsidRPr="00EC50C0">
              <w:rPr>
                <w:b/>
              </w:rPr>
              <w:t>:</w:t>
            </w:r>
          </w:p>
        </w:tc>
        <w:tc>
          <w:tcPr>
            <w:tcW w:w="6662" w:type="dxa"/>
          </w:tcPr>
          <w:p w14:paraId="2BD2C9EC" w14:textId="77777777" w:rsidR="000578EF" w:rsidRPr="00EC50C0" w:rsidRDefault="000578EF" w:rsidP="007D667D">
            <w:pPr>
              <w:contextualSpacing/>
              <w:rPr>
                <w:rFonts w:cs="Arial"/>
              </w:rPr>
            </w:pPr>
            <w:r w:rsidRPr="00EC50C0">
              <w:t>[</w:t>
            </w:r>
            <w:r w:rsidRPr="00EC50C0">
              <w:rPr>
                <w:i/>
                <w:highlight w:val="yellow"/>
              </w:rPr>
              <w:t xml:space="preserve">specify the address or country where the processing operations will be carried out, including operations carried out by </w:t>
            </w:r>
            <w:r>
              <w:rPr>
                <w:i/>
                <w:highlight w:val="yellow"/>
              </w:rPr>
              <w:t>Sub-p</w:t>
            </w:r>
            <w:r w:rsidRPr="00EC50C0">
              <w:rPr>
                <w:i/>
                <w:highlight w:val="yellow"/>
              </w:rPr>
              <w:t>rocessors</w:t>
            </w:r>
            <w:r w:rsidRPr="00EC50C0">
              <w:t>]</w:t>
            </w:r>
          </w:p>
          <w:p w14:paraId="50993E25" w14:textId="77777777" w:rsidR="000578EF" w:rsidRPr="00EC50C0" w:rsidRDefault="000578EF" w:rsidP="007D667D">
            <w:pPr>
              <w:contextualSpacing/>
              <w:rPr>
                <w:rFonts w:cs="Arial"/>
              </w:rPr>
            </w:pPr>
          </w:p>
          <w:p w14:paraId="21F2025C" w14:textId="77777777" w:rsidR="000578EF" w:rsidRPr="00EC50C0" w:rsidRDefault="000578EF" w:rsidP="007D667D">
            <w:pPr>
              <w:spacing w:line="259" w:lineRule="auto"/>
              <w:contextualSpacing/>
              <w:rPr>
                <w:rFonts w:cs="Arial"/>
                <w:i/>
                <w:iCs/>
              </w:rPr>
            </w:pPr>
            <w:r w:rsidRPr="00EC50C0">
              <w:rPr>
                <w:i/>
                <w:highlight w:val="yellow"/>
              </w:rPr>
              <w:t xml:space="preserve">[NOTE. If personal data processing operations will be carried out outside the EEA, it is necessary to specify precisely the conditions or means for the transfer of personal data to third countries provided for in Chapter V of the GDPR separately for each such </w:t>
            </w:r>
            <w:r w:rsidRPr="00EC50C0">
              <w:rPr>
                <w:i/>
                <w:highlight w:val="yellow"/>
              </w:rPr>
              <w:lastRenderedPageBreak/>
              <w:t>transfer as well as to indicate the purpose of such transfers and the recipient of the personal data]</w:t>
            </w:r>
          </w:p>
        </w:tc>
      </w:tr>
      <w:tr w:rsidR="000578EF" w:rsidRPr="00EC50C0" w14:paraId="6F5B07A7" w14:textId="77777777" w:rsidTr="007D667D">
        <w:tc>
          <w:tcPr>
            <w:tcW w:w="562" w:type="dxa"/>
          </w:tcPr>
          <w:p w14:paraId="36E9D6BB" w14:textId="77777777" w:rsidR="000578EF" w:rsidRPr="00EC50C0" w:rsidRDefault="000578EF" w:rsidP="000578EF">
            <w:pPr>
              <w:pStyle w:val="ListParagraph"/>
              <w:numPr>
                <w:ilvl w:val="1"/>
                <w:numId w:val="7"/>
              </w:numPr>
              <w:spacing w:after="160" w:line="259" w:lineRule="auto"/>
              <w:jc w:val="left"/>
              <w:rPr>
                <w:rFonts w:cs="Arial"/>
                <w:b/>
              </w:rPr>
            </w:pPr>
          </w:p>
        </w:tc>
        <w:tc>
          <w:tcPr>
            <w:tcW w:w="2410" w:type="dxa"/>
          </w:tcPr>
          <w:p w14:paraId="43DF9275" w14:textId="77777777" w:rsidR="000578EF" w:rsidRPr="00EC50C0" w:rsidRDefault="000578EF" w:rsidP="007D667D">
            <w:pPr>
              <w:contextualSpacing/>
              <w:rPr>
                <w:rFonts w:cs="Arial"/>
                <w:b/>
              </w:rPr>
            </w:pPr>
            <w:r w:rsidRPr="00EC50C0">
              <w:rPr>
                <w:b/>
              </w:rPr>
              <w:t>Erasure and return of personal data:</w:t>
            </w:r>
          </w:p>
        </w:tc>
        <w:tc>
          <w:tcPr>
            <w:tcW w:w="6662" w:type="dxa"/>
          </w:tcPr>
          <w:p w14:paraId="73027A20" w14:textId="77777777" w:rsidR="000578EF" w:rsidRPr="00EC50C0" w:rsidRDefault="000578EF" w:rsidP="007D667D">
            <w:pPr>
              <w:contextualSpacing/>
              <w:rPr>
                <w:rFonts w:cs="Arial"/>
                <w:i/>
                <w:iCs/>
                <w:highlight w:val="yellow"/>
              </w:rPr>
            </w:pPr>
            <w:r w:rsidRPr="00EC50C0">
              <w:t xml:space="preserve">At the end of the provision of personal data processing services, the Processor must: </w:t>
            </w:r>
            <w:r w:rsidRPr="00EC50C0">
              <w:rPr>
                <w:i/>
                <w:highlight w:val="yellow"/>
              </w:rPr>
              <w:t>[select the appropriate option]</w:t>
            </w:r>
          </w:p>
          <w:p w14:paraId="411425D8" w14:textId="77777777" w:rsidR="000578EF" w:rsidRPr="00EC50C0" w:rsidRDefault="000578EF" w:rsidP="007D667D">
            <w:pPr>
              <w:contextualSpacing/>
              <w:rPr>
                <w:rFonts w:cs="Arial"/>
                <w:i/>
                <w:iCs/>
                <w:highlight w:val="yellow"/>
              </w:rPr>
            </w:pPr>
            <w:r w:rsidRPr="00EC50C0">
              <w:rPr>
                <w:i/>
                <w:highlight w:val="yellow"/>
              </w:rPr>
              <w:t>- Erase all personal data processed on behalf of the Controller and prove to the Controller that it has done so;</w:t>
            </w:r>
          </w:p>
          <w:p w14:paraId="3CFCB200" w14:textId="77777777" w:rsidR="000578EF" w:rsidRPr="00EC50C0" w:rsidRDefault="000578EF" w:rsidP="007D667D">
            <w:pPr>
              <w:contextualSpacing/>
              <w:rPr>
                <w:rFonts w:cs="Arial"/>
                <w:i/>
                <w:iCs/>
                <w:highlight w:val="yellow"/>
              </w:rPr>
            </w:pPr>
            <w:r w:rsidRPr="00EC50C0">
              <w:rPr>
                <w:i/>
                <w:highlight w:val="yellow"/>
              </w:rPr>
              <w:t>- Return all personal data to the Controller and delete existing copies, unless the personal data is required to be retained under the laws of the European Union or a Member State.</w:t>
            </w:r>
          </w:p>
          <w:p w14:paraId="45457E5F" w14:textId="77777777" w:rsidR="000578EF" w:rsidRPr="00EC50C0" w:rsidRDefault="000578EF" w:rsidP="000578EF">
            <w:pPr>
              <w:pStyle w:val="ListParagraph"/>
              <w:numPr>
                <w:ilvl w:val="0"/>
                <w:numId w:val="2"/>
              </w:numPr>
              <w:spacing w:after="160" w:line="259" w:lineRule="auto"/>
              <w:jc w:val="left"/>
              <w:rPr>
                <w:rFonts w:cs="Arial"/>
                <w:i/>
                <w:iCs/>
                <w:highlight w:val="yellow"/>
              </w:rPr>
            </w:pPr>
            <w:r w:rsidRPr="00EC50C0">
              <w:rPr>
                <w:i/>
                <w:highlight w:val="yellow"/>
              </w:rPr>
              <w:t>[List the legislation]</w:t>
            </w:r>
          </w:p>
          <w:p w14:paraId="160DCA39" w14:textId="77777777" w:rsidR="000578EF" w:rsidRPr="00EC50C0" w:rsidRDefault="000578EF" w:rsidP="007D667D">
            <w:pPr>
              <w:contextualSpacing/>
              <w:rPr>
                <w:rFonts w:cs="Arial"/>
                <w:i/>
                <w:iCs/>
                <w:highlight w:val="yellow"/>
              </w:rPr>
            </w:pPr>
          </w:p>
          <w:p w14:paraId="2A1399AA" w14:textId="77777777" w:rsidR="000578EF" w:rsidRPr="00EC50C0" w:rsidRDefault="000578EF" w:rsidP="007D667D">
            <w:pPr>
              <w:contextualSpacing/>
              <w:rPr>
                <w:rFonts w:cs="Arial"/>
                <w:i/>
                <w:iCs/>
                <w:highlight w:val="yellow"/>
              </w:rPr>
            </w:pPr>
            <w:r w:rsidRPr="00EC50C0">
              <w:rPr>
                <w:i/>
                <w:highlight w:val="yellow"/>
              </w:rPr>
              <w:t>Or:</w:t>
            </w:r>
          </w:p>
          <w:p w14:paraId="4CFAE7FF" w14:textId="77777777" w:rsidR="000578EF" w:rsidRPr="00EC50C0" w:rsidRDefault="000578EF" w:rsidP="007D667D">
            <w:pPr>
              <w:contextualSpacing/>
              <w:rPr>
                <w:rFonts w:cs="Arial"/>
                <w:i/>
                <w:iCs/>
                <w:highlight w:val="yellow"/>
              </w:rPr>
            </w:pPr>
            <w:r w:rsidRPr="00EC50C0">
              <w:rPr>
                <w:i/>
                <w:highlight w:val="yellow"/>
              </w:rPr>
              <w:t>- At the end of the provision of personal data processing services, the personal data must be stored in accordance with the following legislation applicable to the Processor in the European Union or a Member State:</w:t>
            </w:r>
          </w:p>
          <w:p w14:paraId="50A3084A" w14:textId="77777777" w:rsidR="000578EF" w:rsidRPr="00EC50C0" w:rsidRDefault="000578EF" w:rsidP="000578EF">
            <w:pPr>
              <w:pStyle w:val="ListParagraph"/>
              <w:numPr>
                <w:ilvl w:val="0"/>
                <w:numId w:val="2"/>
              </w:numPr>
              <w:spacing w:after="160" w:line="259" w:lineRule="auto"/>
              <w:jc w:val="left"/>
              <w:rPr>
                <w:rFonts w:cs="Arial"/>
                <w:i/>
                <w:highlight w:val="yellow"/>
              </w:rPr>
            </w:pPr>
            <w:r w:rsidRPr="00EC50C0">
              <w:rPr>
                <w:i/>
                <w:highlight w:val="yellow"/>
              </w:rPr>
              <w:t>[List the legislation]</w:t>
            </w:r>
          </w:p>
          <w:p w14:paraId="1981D2E1" w14:textId="77777777" w:rsidR="000578EF" w:rsidRPr="00EC50C0" w:rsidRDefault="000578EF" w:rsidP="007D667D">
            <w:pPr>
              <w:contextualSpacing/>
              <w:rPr>
                <w:rFonts w:cs="Arial"/>
                <w:i/>
                <w:iCs/>
                <w:highlight w:val="yellow"/>
              </w:rPr>
            </w:pPr>
          </w:p>
          <w:p w14:paraId="2483CCF8" w14:textId="77777777" w:rsidR="000578EF" w:rsidRPr="00EC50C0" w:rsidRDefault="000578EF" w:rsidP="007D667D">
            <w:pPr>
              <w:contextualSpacing/>
              <w:rPr>
                <w:rFonts w:cs="Arial"/>
                <w:i/>
                <w:iCs/>
              </w:rPr>
            </w:pPr>
            <w:r w:rsidRPr="00EC50C0">
              <w:rPr>
                <w:i/>
                <w:highlight w:val="yellow"/>
              </w:rPr>
              <w:t>[IF APPLICABLE] The Processor, at the end of the provision of personal data processing services, undertakes to process personal data only for the purposes and within the time limits and strictly in accordance with the conditions set out in the legislation referred to in these instructions.</w:t>
            </w:r>
          </w:p>
        </w:tc>
      </w:tr>
      <w:tr w:rsidR="000578EF" w:rsidRPr="00EC50C0" w14:paraId="28CFBBBA" w14:textId="77777777" w:rsidTr="007D667D">
        <w:tc>
          <w:tcPr>
            <w:tcW w:w="562" w:type="dxa"/>
          </w:tcPr>
          <w:p w14:paraId="12418F67" w14:textId="77777777" w:rsidR="000578EF" w:rsidRPr="00EC50C0" w:rsidRDefault="000578EF" w:rsidP="000578EF">
            <w:pPr>
              <w:pStyle w:val="ListParagraph"/>
              <w:numPr>
                <w:ilvl w:val="1"/>
                <w:numId w:val="7"/>
              </w:numPr>
              <w:spacing w:after="160" w:line="259" w:lineRule="auto"/>
              <w:jc w:val="left"/>
              <w:rPr>
                <w:rFonts w:cs="Arial"/>
                <w:b/>
              </w:rPr>
            </w:pPr>
          </w:p>
        </w:tc>
        <w:tc>
          <w:tcPr>
            <w:tcW w:w="2410" w:type="dxa"/>
          </w:tcPr>
          <w:p w14:paraId="78270E19" w14:textId="77777777" w:rsidR="000578EF" w:rsidRPr="00EC50C0" w:rsidRDefault="000578EF" w:rsidP="007D667D">
            <w:pPr>
              <w:contextualSpacing/>
              <w:rPr>
                <w:rFonts w:cs="Arial"/>
                <w:b/>
                <w:bCs/>
              </w:rPr>
            </w:pPr>
            <w:r w:rsidRPr="00EC50C0">
              <w:rPr>
                <w:b/>
              </w:rPr>
              <w:t>The Processor may process personal data on behalf of the Controller once the Agreement has entered into force. Duration of the processing of personal data:</w:t>
            </w:r>
          </w:p>
        </w:tc>
        <w:tc>
          <w:tcPr>
            <w:tcW w:w="6662" w:type="dxa"/>
          </w:tcPr>
          <w:p w14:paraId="0D54D151" w14:textId="77777777" w:rsidR="000578EF" w:rsidRPr="00EC50C0" w:rsidRDefault="000578EF" w:rsidP="007D667D">
            <w:pPr>
              <w:rPr>
                <w:rFonts w:eastAsia="Times New Roman" w:cs="Arial"/>
                <w:i/>
                <w:iCs/>
                <w:highlight w:val="yellow"/>
              </w:rPr>
            </w:pPr>
            <w:r w:rsidRPr="00EC50C0">
              <w:rPr>
                <w:i/>
                <w:highlight w:val="yellow"/>
              </w:rPr>
              <w:t>[Describe the duration of the processing of personal data: this may be a specific date or a time limit described by an event]</w:t>
            </w:r>
          </w:p>
          <w:p w14:paraId="09EECA33" w14:textId="77777777" w:rsidR="000578EF" w:rsidRPr="00EC50C0" w:rsidRDefault="000578EF" w:rsidP="007D667D">
            <w:pPr>
              <w:contextualSpacing/>
              <w:rPr>
                <w:rFonts w:cs="Arial"/>
                <w:highlight w:val="yellow"/>
              </w:rPr>
            </w:pPr>
          </w:p>
        </w:tc>
      </w:tr>
      <w:tr w:rsidR="000578EF" w:rsidRPr="00EC50C0" w14:paraId="76D4EA13" w14:textId="77777777" w:rsidTr="007D667D">
        <w:trPr>
          <w:trHeight w:val="300"/>
        </w:trPr>
        <w:tc>
          <w:tcPr>
            <w:tcW w:w="562" w:type="dxa"/>
          </w:tcPr>
          <w:p w14:paraId="4461A710" w14:textId="77777777" w:rsidR="000578EF" w:rsidRPr="00EC50C0" w:rsidRDefault="000578EF" w:rsidP="000578EF">
            <w:pPr>
              <w:pStyle w:val="ListParagraph"/>
              <w:numPr>
                <w:ilvl w:val="1"/>
                <w:numId w:val="7"/>
              </w:numPr>
              <w:spacing w:after="160" w:line="259" w:lineRule="auto"/>
              <w:jc w:val="left"/>
              <w:rPr>
                <w:rFonts w:cs="Arial"/>
                <w:b/>
              </w:rPr>
            </w:pPr>
          </w:p>
        </w:tc>
        <w:tc>
          <w:tcPr>
            <w:tcW w:w="2410" w:type="dxa"/>
          </w:tcPr>
          <w:p w14:paraId="7152D824" w14:textId="77777777" w:rsidR="000578EF" w:rsidRPr="00EC50C0" w:rsidRDefault="000578EF" w:rsidP="007D667D">
            <w:pPr>
              <w:rPr>
                <w:rFonts w:cs="Arial"/>
                <w:b/>
                <w:bCs/>
              </w:rPr>
            </w:pPr>
            <w:r w:rsidRPr="00EC50C0">
              <w:rPr>
                <w:b/>
              </w:rPr>
              <w:t>Contact details of the data protection officer of the Processor or, if there is no DPO, of another contact person responsible for the protection of personal data</w:t>
            </w:r>
          </w:p>
        </w:tc>
        <w:tc>
          <w:tcPr>
            <w:tcW w:w="6662" w:type="dxa"/>
          </w:tcPr>
          <w:p w14:paraId="123ADA49" w14:textId="77777777" w:rsidR="000578EF" w:rsidRPr="00EC50C0" w:rsidRDefault="000578EF" w:rsidP="007D667D">
            <w:pPr>
              <w:rPr>
                <w:rFonts w:eastAsia="Times New Roman" w:cs="Arial"/>
                <w:i/>
                <w:iCs/>
                <w:highlight w:val="yellow"/>
              </w:rPr>
            </w:pPr>
            <w:r w:rsidRPr="00EC50C0">
              <w:rPr>
                <w:i/>
                <w:highlight w:val="yellow"/>
              </w:rPr>
              <w:t>[Insert the contact details of the data protection officer of the Processor or, if there is no DPO, of any other contact person responsible for the protection of personal data who can be easily contacted by the Controller, in particular, by the Controller’s data protection officer, for the purposes of the Agreement. Please state at least the position and email address of the contact person. It is desirable that the contact details remain unchanged during the term of the Agreement, even if the contact person himself or herself changes.]</w:t>
            </w:r>
          </w:p>
        </w:tc>
      </w:tr>
    </w:tbl>
    <w:p w14:paraId="6124C6A6" w14:textId="77777777" w:rsidR="000578EF" w:rsidRPr="00EC50C0" w:rsidRDefault="000578EF" w:rsidP="000578EF">
      <w:pPr>
        <w:contextualSpacing/>
        <w:jc w:val="center"/>
        <w:rPr>
          <w:rFonts w:cs="Arial"/>
        </w:rPr>
      </w:pPr>
      <w:r w:rsidRPr="00EC50C0">
        <w:t>______________________</w:t>
      </w:r>
    </w:p>
    <w:p w14:paraId="5AE5AFEF" w14:textId="77777777" w:rsidR="000578EF" w:rsidRPr="00EC50C0" w:rsidRDefault="000578EF" w:rsidP="000578EF">
      <w:pPr>
        <w:contextualSpacing/>
        <w:rPr>
          <w:rFonts w:cs="Arial"/>
        </w:rPr>
      </w:pPr>
    </w:p>
    <w:p w14:paraId="389B57AA" w14:textId="77777777" w:rsidR="000578EF" w:rsidRPr="00EC50C0" w:rsidRDefault="000578EF" w:rsidP="000578EF">
      <w:pPr>
        <w:jc w:val="left"/>
        <w:rPr>
          <w:rFonts w:cs="Arial"/>
          <w:color w:val="000000"/>
        </w:rPr>
      </w:pPr>
      <w:r w:rsidRPr="00EC50C0">
        <w:br w:type="page"/>
      </w:r>
    </w:p>
    <w:p w14:paraId="3A7EE78E" w14:textId="77777777" w:rsidR="000578EF" w:rsidRPr="00EC50C0" w:rsidRDefault="000578EF" w:rsidP="000578EF">
      <w:pPr>
        <w:ind w:left="5760"/>
        <w:contextualSpacing/>
        <w:jc w:val="right"/>
        <w:rPr>
          <w:rFonts w:cs="Arial"/>
          <w:b/>
          <w:bCs/>
        </w:rPr>
      </w:pPr>
      <w:r w:rsidRPr="00EC50C0">
        <w:rPr>
          <w:b/>
        </w:rPr>
        <w:lastRenderedPageBreak/>
        <w:t xml:space="preserve">Data Processing Agreement </w:t>
      </w:r>
    </w:p>
    <w:p w14:paraId="31860169" w14:textId="77777777" w:rsidR="000578EF" w:rsidRPr="00EC50C0" w:rsidRDefault="000578EF" w:rsidP="000578EF">
      <w:pPr>
        <w:jc w:val="right"/>
        <w:rPr>
          <w:rFonts w:cs="Arial"/>
          <w:b/>
          <w:bCs/>
        </w:rPr>
      </w:pPr>
      <w:r w:rsidRPr="00EC50C0">
        <w:rPr>
          <w:b/>
        </w:rPr>
        <w:t>Annex 2</w:t>
      </w:r>
    </w:p>
    <w:p w14:paraId="7CF0F647" w14:textId="77777777" w:rsidR="000578EF" w:rsidRPr="00EC50C0" w:rsidRDefault="000578EF" w:rsidP="000578EF">
      <w:pPr>
        <w:jc w:val="center"/>
        <w:rPr>
          <w:rFonts w:cs="Arial"/>
          <w:b/>
          <w:bCs/>
          <w:color w:val="000000"/>
        </w:rPr>
      </w:pPr>
    </w:p>
    <w:p w14:paraId="4324F987" w14:textId="77777777" w:rsidR="000578EF" w:rsidRPr="00EC50C0" w:rsidRDefault="000578EF" w:rsidP="000578EF">
      <w:pPr>
        <w:jc w:val="center"/>
        <w:rPr>
          <w:rFonts w:cs="Arial"/>
          <w:b/>
          <w:bCs/>
          <w:color w:val="000000"/>
        </w:rPr>
      </w:pPr>
      <w:r w:rsidRPr="00EC50C0">
        <w:rPr>
          <w:b/>
          <w:color w:val="000000" w:themeColor="text1"/>
        </w:rPr>
        <w:t xml:space="preserve">List of </w:t>
      </w:r>
      <w:r>
        <w:rPr>
          <w:b/>
          <w:color w:val="000000" w:themeColor="text1"/>
        </w:rPr>
        <w:t>Sub-p</w:t>
      </w:r>
      <w:r w:rsidRPr="00EC50C0">
        <w:rPr>
          <w:b/>
          <w:color w:val="000000" w:themeColor="text1"/>
        </w:rPr>
        <w:t>rocessors Engaged by the Processor</w:t>
      </w:r>
    </w:p>
    <w:p w14:paraId="7C859412" w14:textId="77777777" w:rsidR="000578EF" w:rsidRPr="00EC50C0" w:rsidRDefault="000578EF" w:rsidP="000578EF">
      <w:pPr>
        <w:rPr>
          <w:rFonts w:cs="Arial"/>
          <w:b/>
          <w:bCs/>
          <w:color w:val="000000"/>
        </w:rPr>
      </w:pPr>
    </w:p>
    <w:p w14:paraId="2B8E6330" w14:textId="77777777" w:rsidR="000578EF" w:rsidRPr="00EC50C0" w:rsidRDefault="000578EF" w:rsidP="000578EF">
      <w:pPr>
        <w:pStyle w:val="ListParagraph"/>
        <w:numPr>
          <w:ilvl w:val="0"/>
          <w:numId w:val="6"/>
        </w:numPr>
        <w:spacing w:after="160" w:line="259" w:lineRule="auto"/>
        <w:ind w:left="142" w:firstLine="0"/>
        <w:rPr>
          <w:rFonts w:cs="Arial"/>
          <w:b/>
          <w:bCs/>
          <w:color w:val="000000"/>
        </w:rPr>
      </w:pPr>
      <w:r w:rsidRPr="00EC50C0">
        <w:rPr>
          <w:b/>
          <w:color w:val="000000" w:themeColor="text1"/>
        </w:rPr>
        <w:t xml:space="preserve">Authorised </w:t>
      </w:r>
      <w:r>
        <w:rPr>
          <w:b/>
          <w:color w:val="000000" w:themeColor="text1"/>
        </w:rPr>
        <w:t>Sub-p</w:t>
      </w:r>
      <w:r w:rsidRPr="00EC50C0">
        <w:rPr>
          <w:b/>
          <w:color w:val="000000" w:themeColor="text1"/>
        </w:rPr>
        <w:t>rocessors</w:t>
      </w:r>
    </w:p>
    <w:p w14:paraId="107FEA9A" w14:textId="77777777" w:rsidR="000578EF" w:rsidRPr="00EC50C0" w:rsidRDefault="000578EF" w:rsidP="000578EF">
      <w:pPr>
        <w:pStyle w:val="ListParagraph"/>
        <w:numPr>
          <w:ilvl w:val="1"/>
          <w:numId w:val="6"/>
        </w:numPr>
        <w:spacing w:after="160" w:line="259" w:lineRule="auto"/>
        <w:ind w:left="0" w:firstLine="142"/>
        <w:rPr>
          <w:rFonts w:cs="Arial"/>
          <w:color w:val="000000"/>
        </w:rPr>
      </w:pPr>
      <w:r w:rsidRPr="00EC50C0">
        <w:rPr>
          <w:color w:val="000000" w:themeColor="text1"/>
        </w:rPr>
        <w:t xml:space="preserve">Upon the entry into force of the Agreement, the Controller shall allow engaging the following </w:t>
      </w:r>
      <w:r>
        <w:rPr>
          <w:color w:val="000000" w:themeColor="text1"/>
        </w:rPr>
        <w:t>Sub-p</w:t>
      </w:r>
      <w:r w:rsidRPr="00EC50C0">
        <w:rPr>
          <w:color w:val="000000" w:themeColor="text1"/>
        </w:rPr>
        <w:t>rocessors:</w:t>
      </w:r>
    </w:p>
    <w:p w14:paraId="1657D856" w14:textId="77777777" w:rsidR="000578EF" w:rsidRPr="00EC50C0" w:rsidRDefault="000578EF" w:rsidP="000578EF">
      <w:pPr>
        <w:rPr>
          <w:rFonts w:cs="Arial"/>
          <w:color w:val="000000"/>
        </w:rPr>
      </w:pPr>
    </w:p>
    <w:p w14:paraId="43130C2C" w14:textId="77777777" w:rsidR="000578EF" w:rsidRPr="00EC50C0" w:rsidRDefault="000578EF" w:rsidP="000578EF">
      <w:pPr>
        <w:rPr>
          <w:rFonts w:cs="Arial"/>
          <w:color w:val="000000"/>
        </w:rPr>
      </w:pPr>
    </w:p>
    <w:tbl>
      <w:tblPr>
        <w:tblStyle w:val="TableGrid1"/>
        <w:tblW w:w="9355" w:type="dxa"/>
        <w:jc w:val="center"/>
        <w:tblLook w:val="04A0" w:firstRow="1" w:lastRow="0" w:firstColumn="1" w:lastColumn="0" w:noHBand="0" w:noVBand="1"/>
      </w:tblPr>
      <w:tblGrid>
        <w:gridCol w:w="3220"/>
        <w:gridCol w:w="3054"/>
        <w:gridCol w:w="3081"/>
      </w:tblGrid>
      <w:tr w:rsidR="000578EF" w:rsidRPr="00EC50C0" w14:paraId="30AD222B" w14:textId="77777777" w:rsidTr="007D667D">
        <w:trPr>
          <w:trHeight w:val="795"/>
          <w:jc w:val="center"/>
        </w:trPr>
        <w:tc>
          <w:tcPr>
            <w:tcW w:w="3220" w:type="dxa"/>
            <w:shd w:val="clear" w:color="auto" w:fill="FFFFFF" w:themeFill="background1"/>
            <w:vAlign w:val="center"/>
          </w:tcPr>
          <w:p w14:paraId="4CC6BEEA" w14:textId="77777777" w:rsidR="000578EF" w:rsidRPr="00EC50C0" w:rsidRDefault="000578EF" w:rsidP="007D667D">
            <w:pPr>
              <w:adjustRightInd/>
              <w:jc w:val="center"/>
              <w:rPr>
                <w:rFonts w:cs="Arial"/>
                <w:b/>
                <w:bCs/>
                <w:color w:val="000000" w:themeColor="text1"/>
              </w:rPr>
            </w:pPr>
            <w:r w:rsidRPr="00EC50C0">
              <w:rPr>
                <w:b/>
                <w:color w:val="000000" w:themeColor="text1"/>
              </w:rPr>
              <w:t xml:space="preserve">Company name/Name; </w:t>
            </w:r>
          </w:p>
          <w:p w14:paraId="7F96E30E" w14:textId="77777777" w:rsidR="000578EF" w:rsidRPr="00EC50C0" w:rsidRDefault="000578EF" w:rsidP="007D667D">
            <w:pPr>
              <w:adjustRightInd/>
              <w:jc w:val="center"/>
              <w:rPr>
                <w:rFonts w:cs="Arial"/>
                <w:b/>
                <w:color w:val="000000" w:themeColor="text1"/>
              </w:rPr>
            </w:pPr>
            <w:r w:rsidRPr="00EC50C0">
              <w:rPr>
                <w:b/>
                <w:color w:val="000000" w:themeColor="text1"/>
              </w:rPr>
              <w:t xml:space="preserve">Company code/self-employment certificate number or business licence number; </w:t>
            </w:r>
          </w:p>
          <w:p w14:paraId="5A919E4C" w14:textId="77777777" w:rsidR="000578EF" w:rsidRPr="00EC50C0" w:rsidRDefault="000578EF" w:rsidP="007D667D">
            <w:pPr>
              <w:adjustRightInd/>
              <w:jc w:val="center"/>
              <w:rPr>
                <w:rFonts w:cs="Arial"/>
                <w:b/>
                <w:bCs/>
                <w:color w:val="000000" w:themeColor="text1"/>
              </w:rPr>
            </w:pPr>
            <w:r w:rsidRPr="00EC50C0">
              <w:rPr>
                <w:b/>
                <w:color w:val="000000" w:themeColor="text1"/>
              </w:rPr>
              <w:t>Registered office address/business address</w:t>
            </w:r>
          </w:p>
        </w:tc>
        <w:tc>
          <w:tcPr>
            <w:tcW w:w="3054" w:type="dxa"/>
            <w:shd w:val="clear" w:color="auto" w:fill="FFFFFF" w:themeFill="background1"/>
            <w:vAlign w:val="center"/>
          </w:tcPr>
          <w:p w14:paraId="1F72C086" w14:textId="77777777" w:rsidR="000578EF" w:rsidRPr="00EC50C0" w:rsidRDefault="000578EF" w:rsidP="007D667D">
            <w:pPr>
              <w:adjustRightInd/>
              <w:jc w:val="center"/>
              <w:rPr>
                <w:rFonts w:cs="Arial"/>
                <w:b/>
                <w:bCs/>
                <w:color w:val="000000" w:themeColor="text1"/>
              </w:rPr>
            </w:pPr>
            <w:r w:rsidRPr="00EC50C0">
              <w:rPr>
                <w:b/>
              </w:rPr>
              <w:t xml:space="preserve">Contact details of the data protection officer of the </w:t>
            </w:r>
            <w:r>
              <w:rPr>
                <w:b/>
              </w:rPr>
              <w:t>Sub-p</w:t>
            </w:r>
            <w:r w:rsidRPr="00EC50C0">
              <w:rPr>
                <w:b/>
              </w:rPr>
              <w:t>rocessor or, if there is no DPO, of another contact person responsible for the protection of personal data</w:t>
            </w:r>
            <w:r w:rsidRPr="00EC50C0">
              <w:rPr>
                <w:b/>
                <w:color w:val="000000" w:themeColor="text1"/>
              </w:rPr>
              <w:t xml:space="preserve"> </w:t>
            </w:r>
          </w:p>
        </w:tc>
        <w:tc>
          <w:tcPr>
            <w:tcW w:w="3081" w:type="dxa"/>
            <w:shd w:val="clear" w:color="auto" w:fill="FFFFFF" w:themeFill="background1"/>
          </w:tcPr>
          <w:p w14:paraId="10509246" w14:textId="77777777" w:rsidR="000578EF" w:rsidRPr="00EC50C0" w:rsidRDefault="000578EF" w:rsidP="007D667D">
            <w:pPr>
              <w:jc w:val="center"/>
              <w:rPr>
                <w:rFonts w:cs="Arial"/>
                <w:b/>
                <w:color w:val="000000" w:themeColor="text1"/>
              </w:rPr>
            </w:pPr>
          </w:p>
          <w:p w14:paraId="7E0846BE" w14:textId="77777777" w:rsidR="000578EF" w:rsidRPr="00EC50C0" w:rsidRDefault="000578EF" w:rsidP="007D667D">
            <w:pPr>
              <w:jc w:val="center"/>
              <w:rPr>
                <w:rFonts w:cs="Arial"/>
                <w:b/>
                <w:color w:val="000000" w:themeColor="text1"/>
              </w:rPr>
            </w:pPr>
          </w:p>
          <w:p w14:paraId="1E8ED386" w14:textId="77777777" w:rsidR="000578EF" w:rsidRPr="00EC50C0" w:rsidRDefault="000578EF" w:rsidP="007D667D">
            <w:pPr>
              <w:jc w:val="center"/>
              <w:rPr>
                <w:rFonts w:cs="Arial"/>
                <w:b/>
                <w:color w:val="000000" w:themeColor="text1"/>
              </w:rPr>
            </w:pPr>
          </w:p>
          <w:p w14:paraId="68556FC1" w14:textId="77777777" w:rsidR="000578EF" w:rsidRPr="00EC50C0" w:rsidRDefault="000578EF" w:rsidP="007D667D">
            <w:pPr>
              <w:jc w:val="center"/>
              <w:rPr>
                <w:rFonts w:cs="Arial"/>
                <w:b/>
                <w:color w:val="000000" w:themeColor="text1"/>
              </w:rPr>
            </w:pPr>
            <w:r w:rsidRPr="00EC50C0">
              <w:rPr>
                <w:b/>
                <w:color w:val="000000" w:themeColor="text1"/>
              </w:rPr>
              <w:t xml:space="preserve">Description of the processing of personal data </w:t>
            </w:r>
          </w:p>
        </w:tc>
      </w:tr>
      <w:tr w:rsidR="000578EF" w:rsidRPr="00EC50C0" w14:paraId="2A77544A" w14:textId="77777777" w:rsidTr="007D667D">
        <w:trPr>
          <w:trHeight w:val="795"/>
          <w:jc w:val="center"/>
        </w:trPr>
        <w:tc>
          <w:tcPr>
            <w:tcW w:w="3220" w:type="dxa"/>
            <w:shd w:val="clear" w:color="auto" w:fill="FFFFFF" w:themeFill="background1"/>
            <w:vAlign w:val="center"/>
          </w:tcPr>
          <w:p w14:paraId="7D04AA67" w14:textId="77777777" w:rsidR="000578EF" w:rsidRPr="00EC50C0" w:rsidRDefault="000578EF" w:rsidP="007D667D">
            <w:pPr>
              <w:jc w:val="center"/>
              <w:rPr>
                <w:rFonts w:cs="Arial"/>
                <w:b/>
                <w:color w:val="000000" w:themeColor="text1"/>
              </w:rPr>
            </w:pPr>
          </w:p>
        </w:tc>
        <w:tc>
          <w:tcPr>
            <w:tcW w:w="3054" w:type="dxa"/>
            <w:shd w:val="clear" w:color="auto" w:fill="FFFFFF" w:themeFill="background1"/>
            <w:vAlign w:val="center"/>
          </w:tcPr>
          <w:p w14:paraId="370A2901" w14:textId="77777777" w:rsidR="000578EF" w:rsidRPr="00EC50C0" w:rsidRDefault="000578EF" w:rsidP="007D667D">
            <w:pPr>
              <w:spacing w:line="259" w:lineRule="auto"/>
              <w:rPr>
                <w:rFonts w:cs="Arial"/>
                <w:b/>
                <w:bCs/>
                <w:color w:val="000000" w:themeColor="text1"/>
              </w:rPr>
            </w:pPr>
            <w:r w:rsidRPr="00EC50C0">
              <w:rPr>
                <w:i/>
                <w:highlight w:val="yellow"/>
              </w:rPr>
              <w:t xml:space="preserve">[Provide the contact details of the data protection officer of the </w:t>
            </w:r>
            <w:r>
              <w:rPr>
                <w:i/>
                <w:highlight w:val="yellow"/>
              </w:rPr>
              <w:t>Sub-p</w:t>
            </w:r>
            <w:r w:rsidRPr="00EC50C0">
              <w:rPr>
                <w:i/>
                <w:highlight w:val="yellow"/>
              </w:rPr>
              <w:t>rocessor or, if there is no DPO, of any other contact person responsible for the protection of personal data who can be easily contacted by the Controller, in particular, by the Controller’s data protection officer, for the purposes of the Agreement. Please state at least the position and email address of the contact person. It is desirable that the contact details remain unchanged during the term of the Agreement, even if the contact person himself or herself changes.]</w:t>
            </w:r>
          </w:p>
        </w:tc>
        <w:tc>
          <w:tcPr>
            <w:tcW w:w="3081" w:type="dxa"/>
            <w:shd w:val="clear" w:color="auto" w:fill="FFFFFF" w:themeFill="background1"/>
          </w:tcPr>
          <w:p w14:paraId="1BD3E14F" w14:textId="77777777" w:rsidR="000578EF" w:rsidRPr="00EC50C0" w:rsidRDefault="000578EF" w:rsidP="007D667D">
            <w:pPr>
              <w:rPr>
                <w:rFonts w:cs="Arial"/>
                <w:b/>
                <w:bCs/>
                <w:color w:val="000000" w:themeColor="text1"/>
              </w:rPr>
            </w:pPr>
            <w:r w:rsidRPr="00EC50C0">
              <w:rPr>
                <w:i/>
                <w:highlight w:val="yellow"/>
              </w:rPr>
              <w:t xml:space="preserve">[provide a description of personal data processing actions carried out by this particular </w:t>
            </w:r>
            <w:r>
              <w:rPr>
                <w:i/>
                <w:highlight w:val="yellow"/>
              </w:rPr>
              <w:t>Sub-p</w:t>
            </w:r>
            <w:r w:rsidRPr="00EC50C0">
              <w:rPr>
                <w:i/>
                <w:highlight w:val="yellow"/>
              </w:rPr>
              <w:t>rocessor]</w:t>
            </w:r>
          </w:p>
        </w:tc>
      </w:tr>
      <w:tr w:rsidR="000578EF" w:rsidRPr="00EC50C0" w14:paraId="056BBF04" w14:textId="77777777" w:rsidTr="007D667D">
        <w:trPr>
          <w:trHeight w:val="355"/>
          <w:jc w:val="center"/>
        </w:trPr>
        <w:tc>
          <w:tcPr>
            <w:tcW w:w="3220" w:type="dxa"/>
            <w:shd w:val="clear" w:color="auto" w:fill="FFFFFF" w:themeFill="background1"/>
            <w:vAlign w:val="center"/>
          </w:tcPr>
          <w:p w14:paraId="3EE96463" w14:textId="77777777" w:rsidR="000578EF" w:rsidRPr="00EC50C0" w:rsidRDefault="000578EF" w:rsidP="007D667D">
            <w:pPr>
              <w:jc w:val="center"/>
              <w:rPr>
                <w:rFonts w:cs="Arial"/>
                <w:b/>
                <w:color w:val="000000" w:themeColor="text1"/>
              </w:rPr>
            </w:pPr>
          </w:p>
        </w:tc>
        <w:tc>
          <w:tcPr>
            <w:tcW w:w="3054" w:type="dxa"/>
            <w:shd w:val="clear" w:color="auto" w:fill="FFFFFF" w:themeFill="background1"/>
            <w:vAlign w:val="center"/>
          </w:tcPr>
          <w:p w14:paraId="1ABD0B13" w14:textId="77777777" w:rsidR="000578EF" w:rsidRPr="00EC50C0" w:rsidRDefault="000578EF" w:rsidP="007D667D">
            <w:pPr>
              <w:jc w:val="center"/>
              <w:rPr>
                <w:rFonts w:cs="Arial"/>
                <w:b/>
                <w:color w:val="000000" w:themeColor="text1"/>
              </w:rPr>
            </w:pPr>
          </w:p>
        </w:tc>
        <w:tc>
          <w:tcPr>
            <w:tcW w:w="3081" w:type="dxa"/>
            <w:shd w:val="clear" w:color="auto" w:fill="FFFFFF" w:themeFill="background1"/>
          </w:tcPr>
          <w:p w14:paraId="615E9AF6" w14:textId="77777777" w:rsidR="000578EF" w:rsidRPr="00EC50C0" w:rsidRDefault="000578EF" w:rsidP="007D667D">
            <w:pPr>
              <w:jc w:val="center"/>
              <w:rPr>
                <w:rFonts w:cs="Arial"/>
                <w:b/>
                <w:color w:val="000000" w:themeColor="text1"/>
              </w:rPr>
            </w:pPr>
          </w:p>
        </w:tc>
      </w:tr>
    </w:tbl>
    <w:p w14:paraId="118BA24C" w14:textId="77777777" w:rsidR="000578EF" w:rsidRPr="00EC50C0" w:rsidRDefault="000578EF" w:rsidP="000578EF">
      <w:pPr>
        <w:rPr>
          <w:rFonts w:cs="Arial"/>
          <w:color w:val="000000"/>
        </w:rPr>
      </w:pPr>
    </w:p>
    <w:p w14:paraId="34DDE6AC" w14:textId="77777777" w:rsidR="000578EF" w:rsidRPr="00EC50C0" w:rsidRDefault="000578EF" w:rsidP="000578EF">
      <w:pPr>
        <w:rPr>
          <w:rFonts w:cs="Arial"/>
          <w:color w:val="000000"/>
        </w:rPr>
      </w:pPr>
    </w:p>
    <w:p w14:paraId="3FE71CA4" w14:textId="77777777" w:rsidR="000578EF" w:rsidRPr="00EC50C0" w:rsidRDefault="000578EF" w:rsidP="000578EF">
      <w:pPr>
        <w:pStyle w:val="ListParagraph"/>
        <w:ind w:left="207"/>
        <w:rPr>
          <w:rFonts w:cs="Arial"/>
        </w:rPr>
      </w:pPr>
      <w:r w:rsidRPr="00EC50C0">
        <w:t xml:space="preserve">Upon the entry into force of the Agreement, the Controller shall allow the other Party to engage the </w:t>
      </w:r>
      <w:r>
        <w:t>Sub-p</w:t>
      </w:r>
      <w:r w:rsidRPr="00EC50C0">
        <w:t xml:space="preserve">rocessors listed in the Annex to this Agreement for the purposes set out in sub-clause 1.1 of Annex 1 to the Agreement, subject to the requirements set out in Article 4 of the Agreement. The engagement of such </w:t>
      </w:r>
      <w:r>
        <w:t>Sub-p</w:t>
      </w:r>
      <w:r w:rsidRPr="00EC50C0">
        <w:t xml:space="preserve">rocessors for the processing of personal data for purposes other than those set out in sub-clause 1.1 of Annex 1 to the Agreement shall be subject to the written authorisation of the Controller. </w:t>
      </w:r>
    </w:p>
    <w:p w14:paraId="20429659" w14:textId="77777777" w:rsidR="000578EF" w:rsidRPr="00EC50C0" w:rsidRDefault="000578EF" w:rsidP="000578EF">
      <w:pPr>
        <w:rPr>
          <w:rFonts w:cs="Arial"/>
        </w:rPr>
      </w:pPr>
    </w:p>
    <w:p w14:paraId="358E94D9" w14:textId="77777777" w:rsidR="000578EF" w:rsidRPr="00EC50C0" w:rsidRDefault="000578EF" w:rsidP="000578EF">
      <w:pPr>
        <w:contextualSpacing/>
        <w:jc w:val="center"/>
        <w:rPr>
          <w:rFonts w:cs="Arial"/>
        </w:rPr>
      </w:pPr>
      <w:r w:rsidRPr="00EC50C0">
        <w:t>______________________</w:t>
      </w:r>
    </w:p>
    <w:p w14:paraId="39F10B5E" w14:textId="34DFB3F5" w:rsidR="000578EF" w:rsidRPr="00EC50C0" w:rsidRDefault="000578EF" w:rsidP="000578EF">
      <w:pPr>
        <w:rPr>
          <w:rFonts w:cs="Arial"/>
          <w:color w:val="000000"/>
        </w:rPr>
      </w:pPr>
    </w:p>
    <w:p w14:paraId="6F4DFA60" w14:textId="77777777" w:rsidR="000578EF" w:rsidRPr="00EC50C0" w:rsidRDefault="000578EF" w:rsidP="000578EF">
      <w:pPr>
        <w:jc w:val="left"/>
        <w:rPr>
          <w:rFonts w:cs="Arial"/>
          <w:b/>
          <w:bCs/>
          <w:color w:val="000000"/>
        </w:rPr>
      </w:pPr>
    </w:p>
    <w:p w14:paraId="1D8B1DED" w14:textId="77777777" w:rsidR="000578EF" w:rsidRPr="00EC50C0" w:rsidRDefault="000578EF" w:rsidP="000578EF">
      <w:pPr>
        <w:ind w:left="5760"/>
        <w:contextualSpacing/>
        <w:jc w:val="right"/>
        <w:rPr>
          <w:rFonts w:cs="Arial"/>
          <w:b/>
          <w:bCs/>
        </w:rPr>
      </w:pPr>
      <w:r w:rsidRPr="00EC50C0">
        <w:rPr>
          <w:b/>
        </w:rPr>
        <w:t xml:space="preserve">Data Processing Agreement </w:t>
      </w:r>
    </w:p>
    <w:p w14:paraId="7D07DA0C" w14:textId="77777777" w:rsidR="000578EF" w:rsidRPr="00EC50C0" w:rsidRDefault="000578EF" w:rsidP="000578EF">
      <w:pPr>
        <w:ind w:left="5760"/>
        <w:contextualSpacing/>
        <w:jc w:val="right"/>
        <w:rPr>
          <w:rFonts w:cs="Arial"/>
          <w:b/>
          <w:bCs/>
        </w:rPr>
      </w:pPr>
      <w:r w:rsidRPr="00EC50C0">
        <w:rPr>
          <w:b/>
        </w:rPr>
        <w:t>Annex 3</w:t>
      </w:r>
    </w:p>
    <w:p w14:paraId="3144ED1B" w14:textId="77777777" w:rsidR="000578EF" w:rsidRPr="00EC50C0" w:rsidRDefault="000578EF" w:rsidP="000578EF">
      <w:pPr>
        <w:tabs>
          <w:tab w:val="left" w:pos="1134"/>
          <w:tab w:val="left" w:pos="5103"/>
        </w:tabs>
        <w:rPr>
          <w:rFonts w:cs="Arial"/>
          <w:b/>
          <w:bCs/>
        </w:rPr>
      </w:pPr>
    </w:p>
    <w:p w14:paraId="3C48EA45" w14:textId="77777777" w:rsidR="000578EF" w:rsidRPr="00EC50C0" w:rsidRDefault="000578EF" w:rsidP="000578EF">
      <w:pPr>
        <w:tabs>
          <w:tab w:val="left" w:pos="1134"/>
          <w:tab w:val="left" w:pos="5103"/>
        </w:tabs>
        <w:jc w:val="center"/>
        <w:rPr>
          <w:rFonts w:cs="Arial"/>
          <w:b/>
          <w:bCs/>
        </w:rPr>
      </w:pPr>
      <w:r w:rsidRPr="00EC50C0">
        <w:rPr>
          <w:b/>
        </w:rPr>
        <w:t>Technical and Organisational Security Measures</w:t>
      </w:r>
    </w:p>
    <w:p w14:paraId="54501B27" w14:textId="77777777" w:rsidR="000578EF" w:rsidRPr="00EC50C0" w:rsidRDefault="000578EF" w:rsidP="000578EF">
      <w:pPr>
        <w:tabs>
          <w:tab w:val="left" w:pos="1134"/>
          <w:tab w:val="left" w:pos="5103"/>
        </w:tabs>
        <w:jc w:val="center"/>
        <w:rPr>
          <w:rFonts w:cs="Arial"/>
          <w:b/>
          <w:bCs/>
        </w:rPr>
      </w:pPr>
    </w:p>
    <w:p w14:paraId="202E88F4" w14:textId="77777777" w:rsidR="000578EF" w:rsidRPr="00EC50C0" w:rsidRDefault="000578EF" w:rsidP="000578EF">
      <w:pPr>
        <w:tabs>
          <w:tab w:val="left" w:pos="851"/>
        </w:tabs>
        <w:rPr>
          <w:rFonts w:cs="Arial"/>
        </w:rPr>
      </w:pPr>
      <w:bookmarkStart w:id="0" w:name="_Ref457193783"/>
      <w:bookmarkStart w:id="1" w:name="_Hlk518997941"/>
      <w:r w:rsidRPr="00EC50C0">
        <w:t>When processing personal data, the Processor shall implement the following organisational and technical measures for the protection of Personal Data (hereinafter collectively referred to as the ‘Security Requirements’) to protect the personal data processed against accidental or unlawful destruction, damage, alteration, loss, disclosure, as well as against any other unauthorised processing.</w:t>
      </w:r>
    </w:p>
    <w:p w14:paraId="3448ADB1" w14:textId="77777777" w:rsidR="000578EF" w:rsidRPr="00EC50C0" w:rsidRDefault="000578EF" w:rsidP="000578EF">
      <w:pPr>
        <w:tabs>
          <w:tab w:val="left" w:pos="851"/>
        </w:tabs>
        <w:rPr>
          <w:rFonts w:cs="Arial"/>
        </w:rPr>
      </w:pPr>
    </w:p>
    <w:p w14:paraId="633C29DA" w14:textId="77777777" w:rsidR="000578EF" w:rsidRPr="00EC50C0" w:rsidRDefault="000578EF" w:rsidP="000578EF">
      <w:pPr>
        <w:rPr>
          <w:rFonts w:cs="Arial"/>
          <w:color w:val="000000"/>
        </w:rPr>
      </w:pPr>
      <w:r w:rsidRPr="00EC50C0">
        <w:rPr>
          <w:color w:val="000000" w:themeColor="text1"/>
        </w:rPr>
        <w:t>The Processor shall have the right and obligation to decide on the use of technical and organisational security measures to ensure an adequate (and harmonised) level of security of personal data.</w:t>
      </w:r>
    </w:p>
    <w:p w14:paraId="161E8623" w14:textId="77777777" w:rsidR="000578EF" w:rsidRPr="00EC50C0" w:rsidRDefault="000578EF" w:rsidP="000578EF">
      <w:pPr>
        <w:tabs>
          <w:tab w:val="left" w:pos="851"/>
        </w:tabs>
        <w:rPr>
          <w:rFonts w:cs="Arial"/>
        </w:rPr>
      </w:pPr>
    </w:p>
    <w:p w14:paraId="2C0C9C72" w14:textId="77777777" w:rsidR="000578EF" w:rsidRPr="00EC50C0" w:rsidRDefault="000578EF" w:rsidP="000578EF">
      <w:pPr>
        <w:rPr>
          <w:rFonts w:cs="Arial"/>
        </w:rPr>
      </w:pPr>
      <w:r w:rsidRPr="00EC50C0">
        <w:t>The Processor ensures and undertakes:</w:t>
      </w:r>
    </w:p>
    <w:p w14:paraId="7ADA8FF0" w14:textId="77777777" w:rsidR="000578EF" w:rsidRPr="00EC50C0" w:rsidRDefault="000578EF" w:rsidP="000578EF">
      <w:pPr>
        <w:pStyle w:val="Default"/>
        <w:numPr>
          <w:ilvl w:val="0"/>
          <w:numId w:val="5"/>
        </w:numPr>
        <w:tabs>
          <w:tab w:val="left" w:pos="851"/>
        </w:tabs>
        <w:spacing w:before="160" w:after="160"/>
        <w:ind w:left="360"/>
        <w:jc w:val="both"/>
        <w:rPr>
          <w:rFonts w:ascii="Arial" w:hAnsi="Arial" w:cs="Arial"/>
          <w:b/>
          <w:bCs/>
          <w:color w:val="auto"/>
          <w:sz w:val="22"/>
          <w:szCs w:val="22"/>
        </w:rPr>
      </w:pPr>
      <w:r w:rsidRPr="00EC50C0">
        <w:rPr>
          <w:rFonts w:ascii="Arial" w:hAnsi="Arial"/>
          <w:b/>
          <w:color w:val="auto"/>
          <w:sz w:val="22"/>
        </w:rPr>
        <w:t xml:space="preserve">Organisational Measures for the Security of Personal Data </w:t>
      </w:r>
    </w:p>
    <w:p w14:paraId="2DD0D1D1" w14:textId="77777777" w:rsidR="000578EF" w:rsidRPr="00EC50C0" w:rsidRDefault="000578EF" w:rsidP="000578EF">
      <w:pPr>
        <w:pStyle w:val="Default"/>
        <w:tabs>
          <w:tab w:val="left" w:pos="851"/>
        </w:tabs>
        <w:jc w:val="both"/>
        <w:rPr>
          <w:rFonts w:ascii="Arial" w:hAnsi="Arial" w:cs="Arial"/>
          <w:color w:val="auto"/>
          <w:sz w:val="22"/>
          <w:szCs w:val="22"/>
        </w:rPr>
      </w:pPr>
      <w:r w:rsidRPr="00EC50C0">
        <w:rPr>
          <w:rFonts w:ascii="Arial" w:hAnsi="Arial"/>
          <w:color w:val="auto"/>
          <w:sz w:val="22"/>
        </w:rPr>
        <w:t xml:space="preserve">1.1. </w:t>
      </w:r>
      <w:r w:rsidRPr="00EC50C0">
        <w:rPr>
          <w:rFonts w:ascii="Arial" w:hAnsi="Arial"/>
          <w:b/>
          <w:color w:val="auto"/>
          <w:sz w:val="22"/>
        </w:rPr>
        <w:t>Personal data security policies and procedures:</w:t>
      </w:r>
    </w:p>
    <w:p w14:paraId="3F0DFA7F" w14:textId="77777777" w:rsidR="000578EF" w:rsidRPr="00EC50C0" w:rsidRDefault="000578EF" w:rsidP="000578EF">
      <w:pPr>
        <w:pStyle w:val="Default"/>
        <w:numPr>
          <w:ilvl w:val="2"/>
          <w:numId w:val="4"/>
        </w:numPr>
        <w:tabs>
          <w:tab w:val="left" w:pos="851"/>
        </w:tabs>
        <w:ind w:left="720"/>
        <w:jc w:val="both"/>
        <w:rPr>
          <w:rFonts w:ascii="Arial" w:hAnsi="Arial" w:cs="Arial"/>
          <w:color w:val="auto"/>
          <w:sz w:val="22"/>
          <w:szCs w:val="22"/>
        </w:rPr>
      </w:pPr>
      <w:r w:rsidRPr="00EC50C0">
        <w:rPr>
          <w:rFonts w:ascii="Arial" w:hAnsi="Arial"/>
          <w:sz w:val="22"/>
        </w:rPr>
        <w:t>The processing of personal data and the security of information must be approved by internal regulations;</w:t>
      </w:r>
    </w:p>
    <w:p w14:paraId="164F9D20" w14:textId="77777777" w:rsidR="000578EF" w:rsidRPr="00EC50C0" w:rsidRDefault="000578EF" w:rsidP="000578EF">
      <w:pPr>
        <w:pStyle w:val="Default"/>
        <w:numPr>
          <w:ilvl w:val="2"/>
          <w:numId w:val="4"/>
        </w:numPr>
        <w:tabs>
          <w:tab w:val="left" w:pos="851"/>
        </w:tabs>
        <w:ind w:left="720"/>
        <w:jc w:val="both"/>
        <w:rPr>
          <w:rFonts w:ascii="Arial" w:hAnsi="Arial" w:cs="Arial"/>
          <w:color w:val="auto"/>
          <w:sz w:val="22"/>
          <w:szCs w:val="22"/>
        </w:rPr>
      </w:pPr>
      <w:r w:rsidRPr="00EC50C0">
        <w:rPr>
          <w:rFonts w:ascii="Arial" w:hAnsi="Arial"/>
          <w:color w:val="auto"/>
          <w:sz w:val="22"/>
        </w:rPr>
        <w:t>The internal regulations relating to the processing and protection of personal data must be reviewed at least once a year and updated as necessary.</w:t>
      </w:r>
    </w:p>
    <w:p w14:paraId="074B96F1" w14:textId="77777777" w:rsidR="000578EF" w:rsidRPr="00EC50C0" w:rsidRDefault="000578EF" w:rsidP="000578EF">
      <w:pPr>
        <w:pStyle w:val="Default"/>
        <w:numPr>
          <w:ilvl w:val="1"/>
          <w:numId w:val="4"/>
        </w:numPr>
        <w:tabs>
          <w:tab w:val="left" w:pos="851"/>
        </w:tabs>
        <w:ind w:left="720"/>
        <w:jc w:val="both"/>
        <w:rPr>
          <w:rFonts w:ascii="Arial" w:hAnsi="Arial" w:cs="Arial"/>
          <w:b/>
          <w:color w:val="auto"/>
          <w:sz w:val="22"/>
          <w:szCs w:val="22"/>
        </w:rPr>
      </w:pPr>
      <w:r w:rsidRPr="00EC50C0">
        <w:rPr>
          <w:rFonts w:ascii="Arial" w:hAnsi="Arial"/>
          <w:b/>
          <w:color w:val="auto"/>
          <w:sz w:val="22"/>
        </w:rPr>
        <w:t>Roles and responsibilities:</w:t>
      </w:r>
    </w:p>
    <w:p w14:paraId="79EA4582" w14:textId="77777777" w:rsidR="000578EF" w:rsidRPr="00EC50C0" w:rsidRDefault="000578EF" w:rsidP="000578EF">
      <w:pPr>
        <w:pStyle w:val="Default"/>
        <w:numPr>
          <w:ilvl w:val="2"/>
          <w:numId w:val="4"/>
        </w:numPr>
        <w:tabs>
          <w:tab w:val="left" w:pos="851"/>
        </w:tabs>
        <w:ind w:left="720"/>
        <w:jc w:val="both"/>
        <w:rPr>
          <w:rFonts w:ascii="Arial" w:hAnsi="Arial" w:cs="Arial"/>
          <w:color w:val="auto"/>
          <w:sz w:val="22"/>
          <w:szCs w:val="22"/>
        </w:rPr>
      </w:pPr>
      <w:r w:rsidRPr="00EC50C0">
        <w:rPr>
          <w:rFonts w:ascii="Arial" w:hAnsi="Arial"/>
          <w:color w:val="auto"/>
          <w:sz w:val="22"/>
        </w:rPr>
        <w:t>Roles and responsibilities related to the processing of personal data must be clearly defined and assigned in accordance with approved internal regulations;</w:t>
      </w:r>
    </w:p>
    <w:p w14:paraId="2B7981A4" w14:textId="77777777" w:rsidR="000578EF" w:rsidRPr="00EC50C0" w:rsidRDefault="000578EF" w:rsidP="000578EF">
      <w:pPr>
        <w:pStyle w:val="Default"/>
        <w:numPr>
          <w:ilvl w:val="2"/>
          <w:numId w:val="4"/>
        </w:numPr>
        <w:tabs>
          <w:tab w:val="left" w:pos="851"/>
        </w:tabs>
        <w:ind w:left="720"/>
        <w:jc w:val="both"/>
        <w:rPr>
          <w:rFonts w:ascii="Arial" w:hAnsi="Arial" w:cs="Arial"/>
          <w:color w:val="auto"/>
          <w:sz w:val="22"/>
          <w:szCs w:val="22"/>
        </w:rPr>
      </w:pPr>
      <w:r w:rsidRPr="00EC50C0">
        <w:rPr>
          <w:rFonts w:ascii="Arial" w:hAnsi="Arial"/>
          <w:color w:val="auto"/>
          <w:sz w:val="22"/>
        </w:rPr>
        <w:t>The revocation of employee rights and obligations must be clearly defined through appropriate procedures for the transfer or delegation of roles and responsibilities (internal organisation restructuring or redundancies, change of functions).</w:t>
      </w:r>
    </w:p>
    <w:p w14:paraId="6F6F3C54" w14:textId="77777777" w:rsidR="000578EF" w:rsidRPr="00EC50C0" w:rsidRDefault="000578EF" w:rsidP="000578EF">
      <w:pPr>
        <w:pStyle w:val="Default"/>
        <w:numPr>
          <w:ilvl w:val="1"/>
          <w:numId w:val="4"/>
        </w:numPr>
        <w:tabs>
          <w:tab w:val="left" w:pos="851"/>
        </w:tabs>
        <w:ind w:left="720"/>
        <w:jc w:val="both"/>
        <w:rPr>
          <w:rFonts w:ascii="Arial" w:hAnsi="Arial" w:cs="Arial"/>
          <w:b/>
          <w:color w:val="auto"/>
          <w:sz w:val="22"/>
          <w:szCs w:val="22"/>
        </w:rPr>
      </w:pPr>
      <w:r w:rsidRPr="00EC50C0">
        <w:rPr>
          <w:rFonts w:ascii="Arial" w:hAnsi="Arial"/>
          <w:b/>
          <w:color w:val="auto"/>
          <w:sz w:val="22"/>
        </w:rPr>
        <w:t>Access rights management:</w:t>
      </w:r>
    </w:p>
    <w:p w14:paraId="196A54DC" w14:textId="77777777" w:rsidR="000578EF" w:rsidRPr="00EC50C0" w:rsidRDefault="000578EF" w:rsidP="000578EF">
      <w:pPr>
        <w:pStyle w:val="Default"/>
        <w:numPr>
          <w:ilvl w:val="2"/>
          <w:numId w:val="4"/>
        </w:numPr>
        <w:tabs>
          <w:tab w:val="left" w:pos="851"/>
        </w:tabs>
        <w:ind w:left="720"/>
        <w:jc w:val="both"/>
        <w:rPr>
          <w:rFonts w:ascii="Arial" w:hAnsi="Arial" w:cs="Arial"/>
          <w:color w:val="auto"/>
          <w:sz w:val="22"/>
          <w:szCs w:val="22"/>
        </w:rPr>
      </w:pPr>
      <w:r w:rsidRPr="00EC50C0">
        <w:rPr>
          <w:rFonts w:ascii="Arial" w:hAnsi="Arial"/>
          <w:color w:val="auto"/>
          <w:sz w:val="22"/>
        </w:rPr>
        <w:t>Each person involved in the processing of personal data must be assigned specific access control rights on the basis of the ‘need to know’ principle and controlled in accordance with an approved internal regulation.</w:t>
      </w:r>
    </w:p>
    <w:p w14:paraId="1F463698" w14:textId="77777777" w:rsidR="000578EF" w:rsidRPr="00EC50C0" w:rsidRDefault="000578EF" w:rsidP="000578EF">
      <w:pPr>
        <w:pStyle w:val="Default"/>
        <w:numPr>
          <w:ilvl w:val="1"/>
          <w:numId w:val="4"/>
        </w:numPr>
        <w:tabs>
          <w:tab w:val="left" w:pos="851"/>
        </w:tabs>
        <w:ind w:left="720"/>
        <w:jc w:val="both"/>
        <w:rPr>
          <w:rFonts w:ascii="Arial" w:hAnsi="Arial" w:cs="Arial"/>
          <w:b/>
          <w:color w:val="auto"/>
          <w:sz w:val="22"/>
          <w:szCs w:val="22"/>
        </w:rPr>
      </w:pPr>
      <w:r w:rsidRPr="00EC50C0">
        <w:rPr>
          <w:rFonts w:ascii="Arial" w:hAnsi="Arial"/>
          <w:b/>
          <w:color w:val="auto"/>
          <w:sz w:val="22"/>
        </w:rPr>
        <w:t xml:space="preserve">Resource and asset management: </w:t>
      </w:r>
    </w:p>
    <w:p w14:paraId="63A9214F" w14:textId="77777777" w:rsidR="000578EF" w:rsidRPr="00EC50C0" w:rsidRDefault="000578EF" w:rsidP="000578EF">
      <w:pPr>
        <w:pStyle w:val="Default"/>
        <w:numPr>
          <w:ilvl w:val="2"/>
          <w:numId w:val="4"/>
        </w:numPr>
        <w:tabs>
          <w:tab w:val="left" w:pos="851"/>
        </w:tabs>
        <w:ind w:left="720"/>
        <w:jc w:val="both"/>
        <w:rPr>
          <w:rFonts w:ascii="Arial" w:hAnsi="Arial" w:cs="Arial"/>
          <w:color w:val="auto"/>
          <w:sz w:val="22"/>
          <w:szCs w:val="22"/>
        </w:rPr>
      </w:pPr>
      <w:r w:rsidRPr="00EC50C0">
        <w:rPr>
          <w:rFonts w:ascii="Arial" w:hAnsi="Arial"/>
          <w:color w:val="auto"/>
          <w:sz w:val="22"/>
        </w:rPr>
        <w:t>The Processor must keep a register of IT resources (list of hardware, software and network equipment) used to process personal data. The register of IT resources must include at least the following information: type of IT resource (e.g., server, computer workstation), location (physical or electronic). The management of the register of IT resources must be assigned to a specific person, e.g., an IT professional.</w:t>
      </w:r>
    </w:p>
    <w:p w14:paraId="6A6FC776" w14:textId="77777777" w:rsidR="000578EF" w:rsidRPr="00EC50C0" w:rsidRDefault="000578EF" w:rsidP="000578EF">
      <w:pPr>
        <w:pStyle w:val="Default"/>
        <w:numPr>
          <w:ilvl w:val="2"/>
          <w:numId w:val="4"/>
        </w:numPr>
        <w:tabs>
          <w:tab w:val="left" w:pos="851"/>
        </w:tabs>
        <w:ind w:left="720"/>
        <w:jc w:val="both"/>
        <w:rPr>
          <w:rFonts w:ascii="Arial" w:hAnsi="Arial" w:cs="Arial"/>
          <w:color w:val="auto"/>
          <w:sz w:val="22"/>
          <w:szCs w:val="22"/>
        </w:rPr>
      </w:pPr>
      <w:r w:rsidRPr="00EC50C0">
        <w:rPr>
          <w:rFonts w:ascii="Arial" w:hAnsi="Arial"/>
          <w:color w:val="auto"/>
          <w:sz w:val="22"/>
        </w:rPr>
        <w:t xml:space="preserve">The register of IT resources must be regularly reviewed and updated. </w:t>
      </w:r>
    </w:p>
    <w:p w14:paraId="5D43EC0E" w14:textId="77777777" w:rsidR="000578EF" w:rsidRPr="00EC50C0" w:rsidRDefault="000578EF" w:rsidP="000578EF">
      <w:pPr>
        <w:pStyle w:val="Default"/>
        <w:numPr>
          <w:ilvl w:val="1"/>
          <w:numId w:val="4"/>
        </w:numPr>
        <w:tabs>
          <w:tab w:val="left" w:pos="851"/>
        </w:tabs>
        <w:ind w:left="720"/>
        <w:jc w:val="both"/>
        <w:rPr>
          <w:rFonts w:ascii="Arial" w:hAnsi="Arial" w:cs="Arial"/>
          <w:b/>
          <w:color w:val="auto"/>
          <w:sz w:val="22"/>
          <w:szCs w:val="22"/>
        </w:rPr>
      </w:pPr>
      <w:r w:rsidRPr="00EC50C0">
        <w:rPr>
          <w:rFonts w:ascii="Arial" w:hAnsi="Arial"/>
          <w:b/>
          <w:color w:val="auto"/>
          <w:sz w:val="22"/>
        </w:rPr>
        <w:t>Change management:</w:t>
      </w:r>
    </w:p>
    <w:p w14:paraId="11C3CE66" w14:textId="77777777" w:rsidR="000578EF" w:rsidRPr="00EC50C0" w:rsidRDefault="000578EF" w:rsidP="000578EF">
      <w:pPr>
        <w:pStyle w:val="Default"/>
        <w:numPr>
          <w:ilvl w:val="2"/>
          <w:numId w:val="4"/>
        </w:numPr>
        <w:tabs>
          <w:tab w:val="left" w:pos="851"/>
        </w:tabs>
        <w:ind w:left="720"/>
        <w:jc w:val="both"/>
        <w:rPr>
          <w:rFonts w:ascii="Arial" w:hAnsi="Arial" w:cs="Arial"/>
          <w:color w:val="auto"/>
          <w:sz w:val="22"/>
          <w:szCs w:val="22"/>
        </w:rPr>
      </w:pPr>
      <w:r w:rsidRPr="00EC50C0">
        <w:rPr>
          <w:rFonts w:ascii="Arial" w:hAnsi="Arial"/>
          <w:color w:val="auto"/>
          <w:sz w:val="22"/>
        </w:rPr>
        <w:t>The Processor shall ensure that all material changes to IT systems are monitored and logged by a specific person (e.g., an IT or security professional);</w:t>
      </w:r>
    </w:p>
    <w:p w14:paraId="1FD1D574" w14:textId="77777777" w:rsidR="000578EF" w:rsidRPr="00EC50C0" w:rsidRDefault="000578EF" w:rsidP="000578EF">
      <w:pPr>
        <w:pStyle w:val="Default"/>
        <w:numPr>
          <w:ilvl w:val="1"/>
          <w:numId w:val="4"/>
        </w:numPr>
        <w:tabs>
          <w:tab w:val="left" w:pos="851"/>
        </w:tabs>
        <w:ind w:left="720"/>
        <w:jc w:val="both"/>
        <w:rPr>
          <w:rFonts w:ascii="Arial" w:hAnsi="Arial" w:cs="Arial"/>
          <w:b/>
          <w:color w:val="auto"/>
          <w:sz w:val="22"/>
          <w:szCs w:val="22"/>
        </w:rPr>
      </w:pPr>
      <w:r w:rsidRPr="00EC50C0">
        <w:rPr>
          <w:rFonts w:ascii="Arial" w:hAnsi="Arial"/>
          <w:b/>
          <w:color w:val="auto"/>
          <w:sz w:val="22"/>
        </w:rPr>
        <w:t>Human resources:</w:t>
      </w:r>
    </w:p>
    <w:p w14:paraId="4FF69809" w14:textId="77777777" w:rsidR="000578EF" w:rsidRPr="00EC50C0" w:rsidRDefault="000578EF" w:rsidP="000578EF">
      <w:pPr>
        <w:pStyle w:val="Default"/>
        <w:numPr>
          <w:ilvl w:val="2"/>
          <w:numId w:val="4"/>
        </w:numPr>
        <w:tabs>
          <w:tab w:val="left" w:pos="851"/>
        </w:tabs>
        <w:ind w:left="720"/>
        <w:jc w:val="both"/>
        <w:rPr>
          <w:rFonts w:ascii="Arial" w:hAnsi="Arial" w:cs="Arial"/>
          <w:color w:val="auto"/>
          <w:sz w:val="22"/>
          <w:szCs w:val="22"/>
        </w:rPr>
      </w:pPr>
      <w:r w:rsidRPr="00EC50C0">
        <w:rPr>
          <w:rFonts w:ascii="Arial" w:hAnsi="Arial"/>
          <w:color w:val="auto"/>
          <w:sz w:val="22"/>
        </w:rPr>
        <w:t>The Processor shall ensure that its employees process information with the level of confidentiality required by the Main Contract and this Agreement;</w:t>
      </w:r>
    </w:p>
    <w:p w14:paraId="42336364" w14:textId="77777777" w:rsidR="000578EF" w:rsidRPr="00EC50C0" w:rsidRDefault="000578EF" w:rsidP="000578EF">
      <w:pPr>
        <w:pStyle w:val="Default"/>
        <w:numPr>
          <w:ilvl w:val="2"/>
          <w:numId w:val="4"/>
        </w:numPr>
        <w:tabs>
          <w:tab w:val="left" w:pos="851"/>
        </w:tabs>
        <w:ind w:left="720"/>
        <w:jc w:val="both"/>
        <w:rPr>
          <w:rFonts w:ascii="Arial" w:hAnsi="Arial" w:cs="Arial"/>
          <w:color w:val="auto"/>
          <w:sz w:val="22"/>
          <w:szCs w:val="22"/>
        </w:rPr>
      </w:pPr>
      <w:r w:rsidRPr="00EC50C0">
        <w:rPr>
          <w:rFonts w:ascii="Arial" w:hAnsi="Arial"/>
          <w:color w:val="auto"/>
          <w:sz w:val="22"/>
        </w:rPr>
        <w:t xml:space="preserve">The Processor shall ensure that the relevant employees of the Processor are aware of the requirements and internal regulations (including any restrictions on use) for the processing of personal data, information security, the use of facilities and systems under the Main Contract and the Arrangement. The Controller shall have the right to require the Processor to provide </w:t>
      </w:r>
      <w:r w:rsidRPr="00EC50C0">
        <w:rPr>
          <w:rFonts w:ascii="Arial" w:hAnsi="Arial"/>
          <w:color w:val="auto"/>
          <w:sz w:val="22"/>
        </w:rPr>
        <w:lastRenderedPageBreak/>
        <w:t xml:space="preserve">evidence that its employees are familiar with the internal regulations and the content of the Security Requirements and undertake to comply with them; </w:t>
      </w:r>
    </w:p>
    <w:p w14:paraId="4878D02A" w14:textId="77777777" w:rsidR="000578EF" w:rsidRPr="00EC50C0" w:rsidRDefault="000578EF" w:rsidP="000578EF">
      <w:pPr>
        <w:pStyle w:val="Default"/>
        <w:numPr>
          <w:ilvl w:val="2"/>
          <w:numId w:val="4"/>
        </w:numPr>
        <w:tabs>
          <w:tab w:val="left" w:pos="851"/>
        </w:tabs>
        <w:ind w:left="720"/>
        <w:jc w:val="both"/>
        <w:rPr>
          <w:rFonts w:ascii="Arial" w:hAnsi="Arial" w:cs="Arial"/>
          <w:color w:val="auto"/>
          <w:sz w:val="22"/>
          <w:szCs w:val="22"/>
        </w:rPr>
      </w:pPr>
      <w:r w:rsidRPr="00EC50C0">
        <w:rPr>
          <w:rFonts w:ascii="Arial" w:hAnsi="Arial"/>
          <w:color w:val="auto"/>
          <w:sz w:val="22"/>
        </w:rPr>
        <w:t>The Processor shall ensure that its employees responsible for the processing and security of personal data are adequately trained to carry out their duties relating to the processing and security of personal data;</w:t>
      </w:r>
    </w:p>
    <w:p w14:paraId="5DD6B71E" w14:textId="77777777" w:rsidR="000578EF" w:rsidRPr="00EC50C0" w:rsidRDefault="000578EF" w:rsidP="000578EF">
      <w:pPr>
        <w:pStyle w:val="ListParagraph"/>
        <w:numPr>
          <w:ilvl w:val="2"/>
          <w:numId w:val="4"/>
        </w:numPr>
        <w:ind w:left="720"/>
        <w:rPr>
          <w:rFonts w:cs="Arial"/>
        </w:rPr>
      </w:pPr>
      <w:r w:rsidRPr="00EC50C0">
        <w:t>The Processor shall designate at least one person with appropriate security expertise who shall be responsible for the implementation of the security measures set out in the Security Requirements;</w:t>
      </w:r>
    </w:p>
    <w:p w14:paraId="113BEE44" w14:textId="77777777" w:rsidR="000578EF" w:rsidRPr="00EC50C0" w:rsidRDefault="000578EF" w:rsidP="000578EF">
      <w:pPr>
        <w:pStyle w:val="BodyText"/>
        <w:numPr>
          <w:ilvl w:val="2"/>
          <w:numId w:val="4"/>
        </w:numPr>
        <w:tabs>
          <w:tab w:val="left" w:pos="567"/>
          <w:tab w:val="left" w:pos="851"/>
        </w:tabs>
        <w:spacing w:after="0"/>
        <w:ind w:left="720"/>
        <w:jc w:val="both"/>
        <w:rPr>
          <w:rFonts w:ascii="Arial" w:hAnsi="Arial" w:cs="Arial"/>
          <w:b/>
          <w:bCs/>
        </w:rPr>
      </w:pPr>
      <w:r w:rsidRPr="00EC50C0">
        <w:rPr>
          <w:rFonts w:ascii="Arial" w:hAnsi="Arial"/>
        </w:rPr>
        <w:t>The Processor shall ensure that all employees are adequately informed of the security requirements of the IT systems relevant to their day-to-day work. Employees involved in the processing of personal data must be trained on the relevant personal data security requirements and responsibilities through regular training, awareness-raising events or instructions, memos.</w:t>
      </w:r>
    </w:p>
    <w:p w14:paraId="43305D8D" w14:textId="77777777" w:rsidR="000578EF" w:rsidRPr="00EC50C0" w:rsidRDefault="000578EF" w:rsidP="000578EF">
      <w:pPr>
        <w:pStyle w:val="ListParagraph"/>
        <w:numPr>
          <w:ilvl w:val="0"/>
          <w:numId w:val="4"/>
        </w:numPr>
        <w:spacing w:before="160" w:after="160"/>
        <w:ind w:left="357" w:hanging="357"/>
        <w:rPr>
          <w:rFonts w:cs="Arial"/>
          <w:b/>
          <w:bCs/>
        </w:rPr>
      </w:pPr>
      <w:r w:rsidRPr="00EC50C0">
        <w:rPr>
          <w:b/>
        </w:rPr>
        <w:t xml:space="preserve">Technical Personal Data Security Measures </w:t>
      </w:r>
    </w:p>
    <w:p w14:paraId="3181C290" w14:textId="77777777" w:rsidR="000578EF" w:rsidRPr="00EC50C0" w:rsidRDefault="000578EF" w:rsidP="000578EF">
      <w:pPr>
        <w:pStyle w:val="ListParagraph"/>
        <w:spacing w:before="720"/>
        <w:rPr>
          <w:rFonts w:cs="Arial"/>
        </w:rPr>
      </w:pPr>
    </w:p>
    <w:p w14:paraId="5A11EE12" w14:textId="77777777" w:rsidR="000578EF" w:rsidRPr="00EC50C0" w:rsidRDefault="000578EF" w:rsidP="000578EF">
      <w:pPr>
        <w:pStyle w:val="ListParagraph"/>
        <w:numPr>
          <w:ilvl w:val="1"/>
          <w:numId w:val="4"/>
        </w:numPr>
        <w:spacing w:before="720"/>
        <w:ind w:left="720"/>
        <w:rPr>
          <w:rFonts w:cs="Arial"/>
          <w:b/>
          <w:bCs/>
        </w:rPr>
      </w:pPr>
      <w:r w:rsidRPr="00EC50C0">
        <w:rPr>
          <w:b/>
        </w:rPr>
        <w:t xml:space="preserve">Access control and authentication (applicable if personal data are processed in the systems of the Processor): </w:t>
      </w:r>
    </w:p>
    <w:p w14:paraId="7CE7079F" w14:textId="77777777" w:rsidR="000578EF" w:rsidRPr="00EC50C0" w:rsidRDefault="000578EF" w:rsidP="000578EF">
      <w:pPr>
        <w:pStyle w:val="ListParagraph"/>
        <w:numPr>
          <w:ilvl w:val="2"/>
          <w:numId w:val="4"/>
        </w:numPr>
        <w:ind w:left="720"/>
        <w:rPr>
          <w:rFonts w:cs="Arial"/>
        </w:rPr>
      </w:pPr>
      <w:r w:rsidRPr="00EC50C0">
        <w:t>An access control system must be in place, implemented and applied to all users of the IT system. The access control system shall allow the creation, approval, review and deletion of user accounts;</w:t>
      </w:r>
    </w:p>
    <w:p w14:paraId="461C4BDB" w14:textId="77777777" w:rsidR="000578EF" w:rsidRPr="00EC50C0" w:rsidRDefault="000578EF" w:rsidP="000578EF">
      <w:pPr>
        <w:pStyle w:val="ListParagraph"/>
        <w:numPr>
          <w:ilvl w:val="2"/>
          <w:numId w:val="4"/>
        </w:numPr>
        <w:ind w:left="720"/>
        <w:rPr>
          <w:rFonts w:cs="Arial"/>
        </w:rPr>
      </w:pPr>
      <w:r w:rsidRPr="00EC50C0">
        <w:t>The use of shared user accounts should be avoided. Where a shared user account is necessary, it must be ensured that all users of the shared account have the same rights and obligations;</w:t>
      </w:r>
    </w:p>
    <w:p w14:paraId="4696FC61" w14:textId="77777777" w:rsidR="000578EF" w:rsidRPr="00EC50C0" w:rsidRDefault="000578EF" w:rsidP="000578EF">
      <w:pPr>
        <w:pStyle w:val="ListParagraph"/>
        <w:numPr>
          <w:ilvl w:val="2"/>
          <w:numId w:val="4"/>
        </w:numPr>
        <w:ind w:left="720"/>
        <w:rPr>
          <w:rFonts w:cs="Arial"/>
        </w:rPr>
      </w:pPr>
      <w:r w:rsidRPr="00EC50C0">
        <w:t>An authentication mechanism must be in place to allow access to the IT system (based on the Access Control Policy). The minimum requirement for a user to access the IT system shall be a user login and password;</w:t>
      </w:r>
    </w:p>
    <w:p w14:paraId="295CFDB1" w14:textId="77777777" w:rsidR="000578EF" w:rsidRPr="00EC50C0" w:rsidRDefault="000578EF" w:rsidP="000578EF">
      <w:pPr>
        <w:pStyle w:val="ListParagraph"/>
        <w:numPr>
          <w:ilvl w:val="2"/>
          <w:numId w:val="4"/>
        </w:numPr>
        <w:ind w:left="720"/>
        <w:rPr>
          <w:rFonts w:cs="Arial"/>
        </w:rPr>
      </w:pPr>
      <w:r w:rsidRPr="00EC50C0">
        <w:t xml:space="preserve">Passwords must be at least </w:t>
      </w:r>
      <w:r w:rsidRPr="00EC50C0">
        <w:rPr>
          <w:rStyle w:val="normaltextrun"/>
        </w:rPr>
        <w:t>9 characters in length, made up of uppercase, lowercase and numeric characters</w:t>
      </w:r>
      <w:r w:rsidRPr="00EC50C0">
        <w:t>, or use multi-factor authentication, and</w:t>
      </w:r>
      <w:r w:rsidRPr="00EC50C0">
        <w:rPr>
          <w:rStyle w:val="normaltextrun"/>
          <w:color w:val="000000"/>
          <w:bdr w:val="none" w:sz="0" w:space="0" w:color="auto" w:frame="1"/>
        </w:rPr>
        <w:t xml:space="preserve"> must be changed at least every 60 calendar days.</w:t>
      </w:r>
    </w:p>
    <w:p w14:paraId="6F7D2AB7" w14:textId="77777777" w:rsidR="000578EF" w:rsidRPr="00EC50C0" w:rsidRDefault="000578EF" w:rsidP="000578EF">
      <w:pPr>
        <w:pStyle w:val="ListParagraph"/>
        <w:numPr>
          <w:ilvl w:val="2"/>
          <w:numId w:val="4"/>
        </w:numPr>
        <w:ind w:left="720"/>
        <w:rPr>
          <w:rFonts w:cs="Arial"/>
        </w:rPr>
      </w:pPr>
      <w:r w:rsidRPr="00EC50C0">
        <w:t>The access control system shall be able to detect and prevent the use of passwords that do not meet a specified level of complexity;</w:t>
      </w:r>
    </w:p>
    <w:p w14:paraId="2FDCB042" w14:textId="77777777" w:rsidR="000578EF" w:rsidRPr="00EC50C0" w:rsidRDefault="000578EF" w:rsidP="000578EF">
      <w:pPr>
        <w:pStyle w:val="ListParagraph"/>
        <w:numPr>
          <w:ilvl w:val="2"/>
          <w:numId w:val="4"/>
        </w:numPr>
        <w:ind w:left="720"/>
        <w:rPr>
          <w:rFonts w:cs="Arial"/>
        </w:rPr>
      </w:pPr>
      <w:r w:rsidRPr="00EC50C0">
        <w:t>User passwords must be stored i</w:t>
      </w:r>
      <w:r>
        <w:t>n</w:t>
      </w:r>
      <w:r w:rsidRPr="00EC50C0">
        <w:t xml:space="preserve"> hash form;</w:t>
      </w:r>
    </w:p>
    <w:p w14:paraId="40629E88" w14:textId="77777777" w:rsidR="000578EF" w:rsidRPr="00EC50C0" w:rsidRDefault="000578EF" w:rsidP="000578EF">
      <w:pPr>
        <w:pStyle w:val="ListParagraph"/>
        <w:numPr>
          <w:ilvl w:val="2"/>
          <w:numId w:val="4"/>
        </w:numPr>
        <w:ind w:left="720"/>
        <w:rPr>
          <w:rFonts w:cs="Arial"/>
        </w:rPr>
      </w:pPr>
      <w:r w:rsidRPr="00EC50C0">
        <w:t>Rules on the use of passwords must be established and approved by internal regulations. The rules must define the length, complexity, and validity of passwords as well as the number of unsuccessful attempts to enter a password;</w:t>
      </w:r>
    </w:p>
    <w:p w14:paraId="226896FB" w14:textId="77777777" w:rsidR="000578EF" w:rsidRPr="00EC50C0" w:rsidRDefault="000578EF" w:rsidP="000578EF">
      <w:pPr>
        <w:pStyle w:val="ListParagraph"/>
        <w:numPr>
          <w:ilvl w:val="2"/>
          <w:numId w:val="4"/>
        </w:numPr>
        <w:ind w:left="720"/>
        <w:rPr>
          <w:rFonts w:cs="Arial"/>
        </w:rPr>
      </w:pPr>
      <w:r w:rsidRPr="00EC50C0">
        <w:t>Access to personal data shall be limited to those employees who need the personal data to carry out their functions.</w:t>
      </w:r>
    </w:p>
    <w:p w14:paraId="2174F147" w14:textId="77777777" w:rsidR="000578EF" w:rsidRPr="00EC50C0" w:rsidRDefault="000578EF" w:rsidP="000578EF">
      <w:pPr>
        <w:pStyle w:val="ListParagraph"/>
        <w:numPr>
          <w:ilvl w:val="1"/>
          <w:numId w:val="4"/>
        </w:numPr>
        <w:ind w:left="720"/>
        <w:rPr>
          <w:rFonts w:cs="Arial"/>
          <w:b/>
          <w:bCs/>
        </w:rPr>
      </w:pPr>
      <w:r w:rsidRPr="00EC50C0">
        <w:rPr>
          <w:b/>
        </w:rPr>
        <w:t>Technical logs and monitoring (applicable if personal data are processed in the systems of the Processor):</w:t>
      </w:r>
    </w:p>
    <w:p w14:paraId="1E58FF52" w14:textId="77777777" w:rsidR="000578EF" w:rsidRPr="00EC50C0" w:rsidRDefault="000578EF" w:rsidP="000578EF">
      <w:pPr>
        <w:pStyle w:val="ListParagraph"/>
        <w:numPr>
          <w:ilvl w:val="2"/>
          <w:numId w:val="4"/>
        </w:numPr>
        <w:ind w:left="720"/>
        <w:rPr>
          <w:rFonts w:cs="Arial"/>
        </w:rPr>
      </w:pPr>
      <w:r w:rsidRPr="00EC50C0">
        <w:t>Technical logs must be implemented in the IT system used to process personal data. The technical logs must show all possible information on the access to personal data (e.g., date, time, access, alteration, deletion actions);</w:t>
      </w:r>
    </w:p>
    <w:p w14:paraId="5747AE0D" w14:textId="77777777" w:rsidR="000578EF" w:rsidRPr="00EC50C0" w:rsidRDefault="000578EF" w:rsidP="000578EF">
      <w:pPr>
        <w:pStyle w:val="ListParagraph"/>
        <w:numPr>
          <w:ilvl w:val="2"/>
          <w:numId w:val="4"/>
        </w:numPr>
        <w:ind w:left="720"/>
        <w:rPr>
          <w:rFonts w:cs="Arial"/>
        </w:rPr>
      </w:pPr>
      <w:r w:rsidRPr="00EC50C0">
        <w:t>Technical logs must be time stamped and protected against possible damage, tampering or unauthorised access. Timekeeping mechanisms used in IT systems must be synchronised to a common time reference source.</w:t>
      </w:r>
    </w:p>
    <w:p w14:paraId="73ED0A93" w14:textId="77777777" w:rsidR="000578EF" w:rsidRPr="00EC50C0" w:rsidRDefault="000578EF" w:rsidP="000578EF">
      <w:pPr>
        <w:pStyle w:val="ListParagraph"/>
        <w:numPr>
          <w:ilvl w:val="1"/>
          <w:numId w:val="4"/>
        </w:numPr>
        <w:spacing w:after="160" w:line="259" w:lineRule="auto"/>
        <w:ind w:left="709"/>
        <w:rPr>
          <w:rFonts w:cs="Arial"/>
          <w:b/>
          <w:bCs/>
        </w:rPr>
      </w:pPr>
      <w:r w:rsidRPr="00EC50C0">
        <w:rPr>
          <w:b/>
        </w:rPr>
        <w:t>Database protection (applicable if personal data are processed in the systems of the Processor):</w:t>
      </w:r>
    </w:p>
    <w:p w14:paraId="67BBB225" w14:textId="77777777" w:rsidR="000578EF" w:rsidRPr="00EC50C0" w:rsidRDefault="000578EF" w:rsidP="000578EF">
      <w:pPr>
        <w:pStyle w:val="ListParagraph"/>
        <w:numPr>
          <w:ilvl w:val="2"/>
          <w:numId w:val="4"/>
        </w:numPr>
        <w:ind w:left="720"/>
        <w:rPr>
          <w:rFonts w:cs="Arial"/>
        </w:rPr>
      </w:pPr>
      <w:r w:rsidRPr="00EC50C0">
        <w:t>Databases and application servers must be configured to run under separate accounts with the lowest operating system (OS) privileges;</w:t>
      </w:r>
    </w:p>
    <w:p w14:paraId="26AE2250" w14:textId="77777777" w:rsidR="000578EF" w:rsidRPr="00EC50C0" w:rsidRDefault="000578EF" w:rsidP="000578EF">
      <w:pPr>
        <w:pStyle w:val="ListParagraph"/>
        <w:numPr>
          <w:ilvl w:val="2"/>
          <w:numId w:val="4"/>
        </w:numPr>
        <w:ind w:left="720"/>
        <w:rPr>
          <w:rFonts w:cs="Arial"/>
        </w:rPr>
      </w:pPr>
      <w:r w:rsidRPr="00EC50C0">
        <w:t>Only personal data which are necessary for the performance of the work according to the purposes of the processing of personal data shall be processed in databases and application servers;</w:t>
      </w:r>
    </w:p>
    <w:p w14:paraId="01672DFC" w14:textId="77777777" w:rsidR="000578EF" w:rsidRPr="00EC50C0" w:rsidRDefault="000578EF" w:rsidP="000578EF">
      <w:pPr>
        <w:pStyle w:val="ListParagraph"/>
        <w:numPr>
          <w:ilvl w:val="2"/>
          <w:numId w:val="4"/>
        </w:numPr>
        <w:ind w:left="720"/>
        <w:rPr>
          <w:rFonts w:cs="Arial"/>
        </w:rPr>
      </w:pPr>
      <w:r w:rsidRPr="00EC50C0">
        <w:lastRenderedPageBreak/>
        <w:t>Databases should use pseudonymisation techniques, separating direct identifiers from existing links to other data, and encryption should be used to protect the specific files or records being stored, with the appropriate software or hardware being implemented;</w:t>
      </w:r>
    </w:p>
    <w:p w14:paraId="6E5BC4A2" w14:textId="77777777" w:rsidR="000578EF" w:rsidRPr="00EC50C0" w:rsidRDefault="000578EF" w:rsidP="000578EF">
      <w:pPr>
        <w:pStyle w:val="ListParagraph"/>
        <w:numPr>
          <w:ilvl w:val="2"/>
          <w:numId w:val="4"/>
        </w:numPr>
        <w:ind w:left="720"/>
        <w:rPr>
          <w:rFonts w:cs="Arial"/>
        </w:rPr>
      </w:pPr>
      <w:r w:rsidRPr="00EC50C0">
        <w:t>Personal data stored in the active database shall be encrypted.</w:t>
      </w:r>
    </w:p>
    <w:p w14:paraId="51935B82" w14:textId="77777777" w:rsidR="000578EF" w:rsidRPr="00EC50C0" w:rsidRDefault="000578EF" w:rsidP="000578EF">
      <w:pPr>
        <w:pStyle w:val="ListParagraph"/>
        <w:numPr>
          <w:ilvl w:val="1"/>
          <w:numId w:val="4"/>
        </w:numPr>
        <w:ind w:left="720"/>
        <w:rPr>
          <w:rFonts w:cs="Arial"/>
          <w:b/>
        </w:rPr>
      </w:pPr>
      <w:r w:rsidRPr="00EC50C0">
        <w:rPr>
          <w:b/>
        </w:rPr>
        <w:t xml:space="preserve">Security of workstations: </w:t>
      </w:r>
    </w:p>
    <w:p w14:paraId="1D2A7BBF" w14:textId="77777777" w:rsidR="000578EF" w:rsidRPr="00EC50C0" w:rsidRDefault="000578EF" w:rsidP="000578EF">
      <w:pPr>
        <w:pStyle w:val="ListParagraph"/>
        <w:numPr>
          <w:ilvl w:val="2"/>
          <w:numId w:val="4"/>
        </w:numPr>
        <w:ind w:left="720"/>
        <w:rPr>
          <w:rFonts w:cs="Arial"/>
        </w:rPr>
      </w:pPr>
      <w:r w:rsidRPr="00EC50C0">
        <w:t>Users must not be able to disable or bypass the security settings of IT systems;</w:t>
      </w:r>
    </w:p>
    <w:p w14:paraId="01DA08FC" w14:textId="77777777" w:rsidR="000578EF" w:rsidRPr="00EC50C0" w:rsidRDefault="000578EF" w:rsidP="000578EF">
      <w:pPr>
        <w:pStyle w:val="ListParagraph"/>
        <w:numPr>
          <w:ilvl w:val="2"/>
          <w:numId w:val="4"/>
        </w:numPr>
        <w:ind w:left="720"/>
        <w:rPr>
          <w:rFonts w:cs="Arial"/>
        </w:rPr>
      </w:pPr>
      <w:r w:rsidRPr="00EC50C0">
        <w:t>Antivirus applications and their virus databases should be updated at least weekly, and preferably daily or more frequently;</w:t>
      </w:r>
    </w:p>
    <w:p w14:paraId="249760AC" w14:textId="77777777" w:rsidR="000578EF" w:rsidRPr="00EC50C0" w:rsidRDefault="000578EF" w:rsidP="000578EF">
      <w:pPr>
        <w:pStyle w:val="a-tekstas-numeravimas-2"/>
        <w:numPr>
          <w:ilvl w:val="2"/>
          <w:numId w:val="4"/>
        </w:numPr>
        <w:spacing w:after="0" w:afterAutospacing="0"/>
        <w:ind w:left="720"/>
        <w:rPr>
          <w:rFonts w:cs="Arial"/>
        </w:rPr>
      </w:pPr>
      <w:bookmarkStart w:id="2" w:name="_Toc186729854"/>
      <w:bookmarkStart w:id="3" w:name="_Toc187343420"/>
      <w:r w:rsidRPr="00EC50C0">
        <w:t>Users must not have privileges (rights) to install, remove or manage unauthorised software;</w:t>
      </w:r>
      <w:bookmarkEnd w:id="2"/>
      <w:bookmarkEnd w:id="3"/>
    </w:p>
    <w:p w14:paraId="5E647802" w14:textId="77777777" w:rsidR="000578EF" w:rsidRPr="00EC50C0" w:rsidRDefault="000578EF" w:rsidP="000578EF">
      <w:pPr>
        <w:pStyle w:val="a-tekstas-numeravimas-2"/>
        <w:numPr>
          <w:ilvl w:val="2"/>
          <w:numId w:val="4"/>
        </w:numPr>
        <w:spacing w:after="0" w:afterAutospacing="0"/>
        <w:ind w:left="720"/>
        <w:rPr>
          <w:rFonts w:cs="Arial"/>
        </w:rPr>
      </w:pPr>
      <w:bookmarkStart w:id="4" w:name="_Toc186729855"/>
      <w:bookmarkStart w:id="5" w:name="_Toc187343421"/>
      <w:r w:rsidRPr="00EC50C0">
        <w:t>IT systems must have a defined session time, i.e. if a user is inactive in the system for a specific period of time, their session must be terminated.  The inactive session time shall not exceed 15 minutes;</w:t>
      </w:r>
      <w:bookmarkEnd w:id="4"/>
      <w:bookmarkEnd w:id="5"/>
    </w:p>
    <w:p w14:paraId="4F5CC72F" w14:textId="77777777" w:rsidR="000578EF" w:rsidRPr="00EC50C0" w:rsidRDefault="000578EF" w:rsidP="000578EF">
      <w:pPr>
        <w:pStyle w:val="a-tekstas-numeravimas-2"/>
        <w:numPr>
          <w:ilvl w:val="2"/>
          <w:numId w:val="4"/>
        </w:numPr>
        <w:spacing w:after="0" w:afterAutospacing="0"/>
        <w:ind w:left="720"/>
        <w:rPr>
          <w:rFonts w:cs="Arial"/>
        </w:rPr>
      </w:pPr>
      <w:bookmarkStart w:id="6" w:name="_Toc186729856"/>
      <w:bookmarkStart w:id="7" w:name="_Toc187343422"/>
      <w:r w:rsidRPr="00EC50C0">
        <w:t>Critical operating system security updates must be deployed regularly and immediately;</w:t>
      </w:r>
      <w:bookmarkEnd w:id="6"/>
      <w:bookmarkEnd w:id="7"/>
      <w:r w:rsidRPr="00EC50C0">
        <w:t xml:space="preserve"> </w:t>
      </w:r>
    </w:p>
    <w:p w14:paraId="3552237A" w14:textId="77777777" w:rsidR="000578EF" w:rsidRPr="00EC50C0" w:rsidRDefault="000578EF" w:rsidP="000578EF">
      <w:pPr>
        <w:pStyle w:val="a-tekstas-numeravimas-2"/>
        <w:numPr>
          <w:ilvl w:val="2"/>
          <w:numId w:val="4"/>
        </w:numPr>
        <w:spacing w:after="0" w:afterAutospacing="0"/>
        <w:ind w:left="709"/>
        <w:rPr>
          <w:rFonts w:cs="Arial"/>
        </w:rPr>
      </w:pPr>
      <w:bookmarkStart w:id="8" w:name="_Toc186729857"/>
      <w:bookmarkStart w:id="9" w:name="_Toc187343423"/>
      <w:r w:rsidRPr="00EC50C0">
        <w:t>Laptops must be protected by safeguards appropriate to the risks involved in processing personal data, i.e. laptop encryption and other necessary measures;</w:t>
      </w:r>
      <w:bookmarkEnd w:id="8"/>
      <w:bookmarkEnd w:id="9"/>
    </w:p>
    <w:p w14:paraId="2B27CB26" w14:textId="77777777" w:rsidR="000578EF" w:rsidRPr="00EC50C0" w:rsidRDefault="000578EF" w:rsidP="000578EF">
      <w:pPr>
        <w:pStyle w:val="a-tekstas-numeravimas-2"/>
        <w:numPr>
          <w:ilvl w:val="2"/>
          <w:numId w:val="4"/>
        </w:numPr>
        <w:ind w:left="720"/>
        <w:rPr>
          <w:rFonts w:cs="Arial"/>
        </w:rPr>
      </w:pPr>
      <w:bookmarkStart w:id="10" w:name="_Toc186729858"/>
      <w:bookmarkStart w:id="11" w:name="_Toc187343424"/>
      <w:r w:rsidRPr="00EC50C0">
        <w:t>Computer workstations must be centrally managed.</w:t>
      </w:r>
      <w:bookmarkEnd w:id="10"/>
      <w:bookmarkEnd w:id="11"/>
    </w:p>
    <w:p w14:paraId="30A943C0" w14:textId="77777777" w:rsidR="000578EF" w:rsidRPr="00EC50C0" w:rsidRDefault="000578EF" w:rsidP="000578EF">
      <w:pPr>
        <w:pStyle w:val="a-tekstas-numeravimas-1"/>
        <w:numPr>
          <w:ilvl w:val="1"/>
          <w:numId w:val="4"/>
        </w:numPr>
        <w:spacing w:before="0" w:line="240" w:lineRule="auto"/>
        <w:ind w:left="720"/>
        <w:rPr>
          <w:rFonts w:ascii="Arial" w:hAnsi="Arial" w:cs="Arial"/>
          <w:b/>
        </w:rPr>
      </w:pPr>
      <w:bookmarkStart w:id="12" w:name="_Toc186729859"/>
      <w:bookmarkStart w:id="13" w:name="_Toc187343425"/>
      <w:r w:rsidRPr="00EC50C0">
        <w:rPr>
          <w:rFonts w:ascii="Arial" w:hAnsi="Arial"/>
          <w:b/>
        </w:rPr>
        <w:t>Network and communication security:</w:t>
      </w:r>
      <w:bookmarkEnd w:id="12"/>
      <w:bookmarkEnd w:id="13"/>
    </w:p>
    <w:p w14:paraId="6898F982" w14:textId="77777777" w:rsidR="000578EF" w:rsidRPr="00EC50C0" w:rsidRDefault="000578EF" w:rsidP="000578EF">
      <w:pPr>
        <w:pStyle w:val="a-tekstas-numeravimas-2"/>
        <w:numPr>
          <w:ilvl w:val="2"/>
          <w:numId w:val="4"/>
        </w:numPr>
        <w:spacing w:after="0" w:afterAutospacing="0"/>
        <w:ind w:left="720"/>
        <w:rPr>
          <w:rFonts w:cs="Arial"/>
        </w:rPr>
      </w:pPr>
      <w:bookmarkStart w:id="14" w:name="_Toc186729860"/>
      <w:bookmarkStart w:id="15" w:name="_Toc187343426"/>
      <w:r w:rsidRPr="00EC50C0">
        <w:t>When the IT systems used are accessed via the Internet, the use of an encrypted communication channel, i.e. cryptographic protocols (e.g., TLS/SSL) and other appropriate encryption protocols, shall be mandatory;</w:t>
      </w:r>
      <w:bookmarkEnd w:id="14"/>
      <w:bookmarkEnd w:id="15"/>
    </w:p>
    <w:p w14:paraId="4FA8EB7C" w14:textId="77777777" w:rsidR="000578EF" w:rsidRPr="00EC50C0" w:rsidRDefault="000578EF" w:rsidP="000578EF">
      <w:pPr>
        <w:pStyle w:val="a-tekstas-numeravimas-2"/>
        <w:numPr>
          <w:ilvl w:val="2"/>
          <w:numId w:val="4"/>
        </w:numPr>
        <w:spacing w:after="0" w:afterAutospacing="0"/>
        <w:ind w:left="720"/>
        <w:rPr>
          <w:rFonts w:cs="Arial"/>
        </w:rPr>
      </w:pPr>
      <w:bookmarkStart w:id="16" w:name="_Toc186729861"/>
      <w:bookmarkStart w:id="17" w:name="_Toc187343427"/>
      <w:r w:rsidRPr="00EC50C0">
        <w:t>Any movement of data to, from and within the IT system must be monitored and controlled using firewalls and intrusion detection and prevention systems;</w:t>
      </w:r>
      <w:bookmarkEnd w:id="16"/>
      <w:bookmarkEnd w:id="17"/>
    </w:p>
    <w:p w14:paraId="1E5EC62C" w14:textId="77777777" w:rsidR="000578EF" w:rsidRPr="00EC50C0" w:rsidRDefault="000578EF" w:rsidP="000578EF">
      <w:pPr>
        <w:pStyle w:val="a-tekstas-numeravimas-2"/>
        <w:numPr>
          <w:ilvl w:val="2"/>
          <w:numId w:val="4"/>
        </w:numPr>
        <w:spacing w:after="0" w:afterAutospacing="0"/>
        <w:ind w:left="709"/>
        <w:rPr>
          <w:rFonts w:cs="Arial"/>
        </w:rPr>
      </w:pPr>
      <w:bookmarkStart w:id="18" w:name="_Toc186729862"/>
      <w:r w:rsidRPr="00EC50C0">
        <w:t> </w:t>
      </w:r>
      <w:bookmarkStart w:id="19" w:name="_Toc187343428"/>
      <w:r w:rsidRPr="00EC50C0">
        <w:t>Penetration testing shall be performed for the network and the system used, which shall be accessible from an external network at least once a year.</w:t>
      </w:r>
      <w:bookmarkEnd w:id="18"/>
      <w:bookmarkEnd w:id="19"/>
    </w:p>
    <w:p w14:paraId="34E53C75" w14:textId="77777777" w:rsidR="000578EF" w:rsidRPr="00EC50C0" w:rsidRDefault="000578EF" w:rsidP="000578EF">
      <w:pPr>
        <w:pStyle w:val="a-tekstas-numeravimas-1"/>
        <w:numPr>
          <w:ilvl w:val="0"/>
          <w:numId w:val="0"/>
        </w:numPr>
        <w:spacing w:before="0"/>
        <w:rPr>
          <w:rFonts w:ascii="Arial" w:eastAsia="Arial" w:hAnsi="Arial" w:cs="Arial"/>
          <w:b/>
          <w:bCs/>
        </w:rPr>
      </w:pPr>
      <w:bookmarkStart w:id="20" w:name="_Toc186729863"/>
      <w:bookmarkStart w:id="21" w:name="_Toc187343429"/>
      <w:r w:rsidRPr="00EC50C0">
        <w:rPr>
          <w:rFonts w:ascii="Arial" w:hAnsi="Arial"/>
          <w:b/>
        </w:rPr>
        <w:t>2.6. Backups (applicable if personal data are processed in the systems of the Processor):</w:t>
      </w:r>
      <w:bookmarkEnd w:id="20"/>
      <w:bookmarkEnd w:id="21"/>
    </w:p>
    <w:p w14:paraId="594D305D" w14:textId="77777777" w:rsidR="000578EF" w:rsidRPr="00EC50C0" w:rsidRDefault="000578EF" w:rsidP="000578EF">
      <w:pPr>
        <w:pStyle w:val="a-tekstas-numeravimas-2"/>
        <w:numPr>
          <w:ilvl w:val="2"/>
          <w:numId w:val="9"/>
        </w:numPr>
        <w:spacing w:after="0" w:afterAutospacing="0"/>
        <w:ind w:left="709"/>
        <w:rPr>
          <w:rFonts w:cs="Arial"/>
        </w:rPr>
      </w:pPr>
      <w:bookmarkStart w:id="22" w:name="_Toc186729864"/>
      <w:bookmarkStart w:id="23" w:name="_Toc187343430"/>
      <w:r w:rsidRPr="00EC50C0">
        <w:t>Backup and recovery procedures must be defined, documented, and clearly linked to roles and responsibilities;</w:t>
      </w:r>
      <w:bookmarkEnd w:id="22"/>
      <w:bookmarkEnd w:id="23"/>
    </w:p>
    <w:p w14:paraId="01455427" w14:textId="77777777" w:rsidR="000578EF" w:rsidRPr="00EC50C0" w:rsidRDefault="000578EF" w:rsidP="000578EF">
      <w:pPr>
        <w:pStyle w:val="a-tekstas-numeravimas-2"/>
        <w:numPr>
          <w:ilvl w:val="2"/>
          <w:numId w:val="9"/>
        </w:numPr>
        <w:spacing w:after="0" w:afterAutospacing="0"/>
        <w:ind w:left="720"/>
        <w:rPr>
          <w:rFonts w:cs="Arial"/>
        </w:rPr>
      </w:pPr>
      <w:bookmarkStart w:id="24" w:name="_Toc186729865"/>
      <w:bookmarkStart w:id="25" w:name="_Toc187343431"/>
      <w:r w:rsidRPr="00EC50C0">
        <w:t>Backup media must have an appropriate level of physical security for the environment and premises, depending on the personal data stored;</w:t>
      </w:r>
      <w:bookmarkEnd w:id="24"/>
      <w:bookmarkEnd w:id="25"/>
    </w:p>
    <w:p w14:paraId="5BBA1304" w14:textId="77777777" w:rsidR="000578EF" w:rsidRPr="00EC50C0" w:rsidRDefault="000578EF" w:rsidP="000578EF">
      <w:pPr>
        <w:pStyle w:val="a-tekstas-numeravimas-2"/>
        <w:numPr>
          <w:ilvl w:val="2"/>
          <w:numId w:val="9"/>
        </w:numPr>
        <w:spacing w:after="0" w:afterAutospacing="0"/>
        <w:ind w:left="720"/>
        <w:rPr>
          <w:rFonts w:cs="Arial"/>
        </w:rPr>
      </w:pPr>
      <w:bookmarkStart w:id="26" w:name="_Toc186729866"/>
      <w:bookmarkStart w:id="27" w:name="_Toc187343432"/>
      <w:r w:rsidRPr="00EC50C0">
        <w:t>The backup process must be monitored to ensure completeness and thoroughness;</w:t>
      </w:r>
      <w:bookmarkEnd w:id="26"/>
      <w:bookmarkEnd w:id="27"/>
    </w:p>
    <w:p w14:paraId="0C7858CC" w14:textId="77777777" w:rsidR="000578EF" w:rsidRPr="00EC50C0" w:rsidRDefault="000578EF" w:rsidP="000578EF">
      <w:pPr>
        <w:pStyle w:val="a-tekstas-numeravimas-2"/>
        <w:numPr>
          <w:ilvl w:val="2"/>
          <w:numId w:val="9"/>
        </w:numPr>
        <w:spacing w:after="0" w:afterAutospacing="0"/>
        <w:ind w:left="720"/>
        <w:rPr>
          <w:rFonts w:cs="Arial"/>
        </w:rPr>
      </w:pPr>
      <w:bookmarkStart w:id="28" w:name="_Toc186729867"/>
      <w:bookmarkStart w:id="29" w:name="_Toc187343433"/>
      <w:r w:rsidRPr="00EC50C0">
        <w:t>Full data backups must be carried out regularly. The recommended frequency of backups is daily incremental backup and weekly full backup;</w:t>
      </w:r>
      <w:bookmarkEnd w:id="28"/>
      <w:bookmarkEnd w:id="29"/>
    </w:p>
    <w:p w14:paraId="7FF34EF7" w14:textId="77777777" w:rsidR="000578EF" w:rsidRPr="00EC50C0" w:rsidRDefault="000578EF" w:rsidP="000578EF">
      <w:pPr>
        <w:pStyle w:val="a-tekstas-numeravimas-2"/>
        <w:numPr>
          <w:ilvl w:val="2"/>
          <w:numId w:val="9"/>
        </w:numPr>
        <w:spacing w:after="0" w:afterAutospacing="0"/>
        <w:ind w:left="720"/>
        <w:rPr>
          <w:rFonts w:cs="Arial"/>
        </w:rPr>
      </w:pPr>
      <w:bookmarkStart w:id="30" w:name="_Toc186729868"/>
      <w:bookmarkStart w:id="31" w:name="_Toc187343434"/>
      <w:r w:rsidRPr="00EC50C0">
        <w:t>Backups must be encrypted;</w:t>
      </w:r>
      <w:bookmarkEnd w:id="30"/>
      <w:bookmarkEnd w:id="31"/>
    </w:p>
    <w:p w14:paraId="34295729" w14:textId="77777777" w:rsidR="000578EF" w:rsidRPr="00EC50C0" w:rsidRDefault="000578EF" w:rsidP="000578EF">
      <w:pPr>
        <w:pStyle w:val="a-tekstas-numeravimas-2"/>
        <w:numPr>
          <w:ilvl w:val="2"/>
          <w:numId w:val="9"/>
        </w:numPr>
        <w:spacing w:after="0" w:afterAutospacing="0"/>
        <w:ind w:left="720"/>
        <w:rPr>
          <w:rFonts w:cs="Arial"/>
        </w:rPr>
      </w:pPr>
      <w:bookmarkStart w:id="32" w:name="_Toc186729869"/>
      <w:bookmarkStart w:id="33" w:name="_Toc187343435"/>
      <w:r w:rsidRPr="00EC50C0">
        <w:t>A detailed business continuity plan must be in place and responsible persons must be appointed to control and manage risks, and a service-level agreement (SLA) must be in place for key business processes that ensure the security of personal data.</w:t>
      </w:r>
      <w:bookmarkEnd w:id="32"/>
      <w:bookmarkEnd w:id="33"/>
    </w:p>
    <w:p w14:paraId="31019C6F" w14:textId="77777777" w:rsidR="000578EF" w:rsidRPr="00EC50C0" w:rsidRDefault="000578EF" w:rsidP="000578EF">
      <w:pPr>
        <w:pStyle w:val="a-tekstas-numeravimas-1"/>
        <w:numPr>
          <w:ilvl w:val="1"/>
          <w:numId w:val="8"/>
        </w:numPr>
        <w:spacing w:before="0" w:line="240" w:lineRule="auto"/>
        <w:ind w:left="709"/>
        <w:rPr>
          <w:rFonts w:ascii="Arial" w:hAnsi="Arial" w:cs="Arial"/>
          <w:b/>
        </w:rPr>
      </w:pPr>
      <w:bookmarkStart w:id="34" w:name="_Toc186729870"/>
      <w:bookmarkStart w:id="35" w:name="_Toc187343436"/>
      <w:r w:rsidRPr="00EC50C0">
        <w:rPr>
          <w:rFonts w:ascii="Arial" w:hAnsi="Arial"/>
          <w:b/>
        </w:rPr>
        <w:t>Mobile, portable devices:</w:t>
      </w:r>
      <w:bookmarkEnd w:id="34"/>
      <w:bookmarkEnd w:id="35"/>
    </w:p>
    <w:p w14:paraId="25DB0E51" w14:textId="77777777" w:rsidR="000578EF" w:rsidRPr="00EC50C0" w:rsidRDefault="000578EF" w:rsidP="000578EF">
      <w:pPr>
        <w:pStyle w:val="a-tekstas-numeravimas-2"/>
        <w:numPr>
          <w:ilvl w:val="2"/>
          <w:numId w:val="8"/>
        </w:numPr>
        <w:spacing w:after="0" w:afterAutospacing="0"/>
        <w:ind w:left="720"/>
        <w:rPr>
          <w:rFonts w:cs="Arial"/>
        </w:rPr>
      </w:pPr>
      <w:bookmarkStart w:id="36" w:name="_Toc186729871"/>
      <w:bookmarkStart w:id="37" w:name="_Toc187343437"/>
      <w:r w:rsidRPr="00EC50C0">
        <w:t>Procedures for the management of mobile, portable devices must be laid down and approved by internal regulations, clearly describing the proper use of such devices;</w:t>
      </w:r>
      <w:bookmarkEnd w:id="36"/>
      <w:bookmarkEnd w:id="37"/>
    </w:p>
    <w:p w14:paraId="5FC0F18C" w14:textId="77777777" w:rsidR="000578EF" w:rsidRPr="00EC50C0" w:rsidRDefault="000578EF" w:rsidP="000578EF">
      <w:pPr>
        <w:pStyle w:val="a-tekstas-numeravimas-2"/>
        <w:numPr>
          <w:ilvl w:val="2"/>
          <w:numId w:val="8"/>
        </w:numPr>
        <w:spacing w:after="0" w:afterAutospacing="0"/>
        <w:ind w:left="720"/>
        <w:rPr>
          <w:rFonts w:cs="Arial"/>
        </w:rPr>
      </w:pPr>
      <w:bookmarkStart w:id="38" w:name="_Toc186729872"/>
      <w:bookmarkStart w:id="39" w:name="_Toc187343438"/>
      <w:r w:rsidRPr="00EC50C0">
        <w:t>Mobile and portable devices that will be used to work with the information systems must be registered and authorised before use;</w:t>
      </w:r>
      <w:bookmarkEnd w:id="38"/>
      <w:bookmarkEnd w:id="39"/>
    </w:p>
    <w:p w14:paraId="07FF6393" w14:textId="77777777" w:rsidR="000578EF" w:rsidRPr="00EC50C0" w:rsidRDefault="000578EF" w:rsidP="000578EF">
      <w:pPr>
        <w:pStyle w:val="a-tekstas-numeravimas-2"/>
        <w:numPr>
          <w:ilvl w:val="2"/>
          <w:numId w:val="8"/>
        </w:numPr>
        <w:spacing w:after="0" w:afterAutospacing="0"/>
        <w:ind w:left="709"/>
        <w:rPr>
          <w:rFonts w:cs="Arial"/>
        </w:rPr>
      </w:pPr>
      <w:bookmarkStart w:id="40" w:name="_Toc186729873"/>
      <w:bookmarkStart w:id="41" w:name="_Toc187343439"/>
      <w:r w:rsidRPr="00EC50C0">
        <w:t>Mobile, portable devices as well as other equipment used to process personal data shall have a sufficient level of access control procedures;</w:t>
      </w:r>
      <w:bookmarkEnd w:id="40"/>
      <w:bookmarkEnd w:id="41"/>
    </w:p>
    <w:p w14:paraId="6B9BBE77" w14:textId="77777777" w:rsidR="000578EF" w:rsidRPr="00EC50C0" w:rsidRDefault="000578EF" w:rsidP="000578EF">
      <w:pPr>
        <w:pStyle w:val="a-tekstas-numeravimas-2"/>
        <w:numPr>
          <w:ilvl w:val="2"/>
          <w:numId w:val="8"/>
        </w:numPr>
        <w:spacing w:after="0" w:afterAutospacing="0"/>
        <w:ind w:left="720"/>
        <w:rPr>
          <w:rFonts w:cs="Arial"/>
        </w:rPr>
      </w:pPr>
      <w:bookmarkStart w:id="42" w:name="_Toc186729874"/>
      <w:bookmarkStart w:id="43" w:name="_Toc187343440"/>
      <w:r w:rsidRPr="00EC50C0">
        <w:t>The functions and responsibilities for managing mobile, portable devices must be clearly defined;</w:t>
      </w:r>
      <w:bookmarkEnd w:id="42"/>
      <w:bookmarkEnd w:id="43"/>
    </w:p>
    <w:p w14:paraId="50E6C0AF" w14:textId="77777777" w:rsidR="000578EF" w:rsidRPr="00EC50C0" w:rsidRDefault="000578EF" w:rsidP="000578EF">
      <w:pPr>
        <w:pStyle w:val="a-tekstas-numeravimas-2"/>
        <w:numPr>
          <w:ilvl w:val="2"/>
          <w:numId w:val="8"/>
        </w:numPr>
        <w:spacing w:after="0" w:afterAutospacing="0"/>
        <w:ind w:left="720"/>
        <w:rPr>
          <w:rFonts w:cs="Arial"/>
        </w:rPr>
      </w:pPr>
      <w:bookmarkStart w:id="44" w:name="_Toc186729875"/>
      <w:bookmarkStart w:id="45" w:name="_Toc187343441"/>
      <w:r w:rsidRPr="00EC50C0">
        <w:t>For teleworking, appropriate personal data security measures must be in place, as approved by an internal regulation.</w:t>
      </w:r>
      <w:bookmarkEnd w:id="44"/>
      <w:bookmarkEnd w:id="45"/>
    </w:p>
    <w:p w14:paraId="3F7AD151" w14:textId="77777777" w:rsidR="000578EF" w:rsidRPr="00EC50C0" w:rsidRDefault="000578EF" w:rsidP="000578EF">
      <w:pPr>
        <w:pStyle w:val="a-tekstas-numeravimas-1"/>
        <w:numPr>
          <w:ilvl w:val="1"/>
          <w:numId w:val="8"/>
        </w:numPr>
        <w:spacing w:before="0" w:line="240" w:lineRule="auto"/>
        <w:ind w:left="709"/>
        <w:rPr>
          <w:rFonts w:ascii="Arial" w:hAnsi="Arial" w:cs="Arial"/>
          <w:b/>
          <w:bCs/>
        </w:rPr>
      </w:pPr>
      <w:bookmarkStart w:id="46" w:name="_Toc186729876"/>
      <w:bookmarkStart w:id="47" w:name="_Toc187343442"/>
      <w:r w:rsidRPr="00EC50C0">
        <w:rPr>
          <w:rFonts w:ascii="Arial" w:hAnsi="Arial"/>
          <w:b/>
        </w:rPr>
        <w:t>Software security (applicable if personal data are processed in the systems of the Processor):</w:t>
      </w:r>
      <w:bookmarkEnd w:id="46"/>
      <w:bookmarkEnd w:id="47"/>
      <w:r w:rsidRPr="00EC50C0">
        <w:rPr>
          <w:rFonts w:ascii="Arial" w:hAnsi="Arial"/>
          <w:b/>
        </w:rPr>
        <w:t xml:space="preserve"> </w:t>
      </w:r>
    </w:p>
    <w:p w14:paraId="65BCDECC" w14:textId="77777777" w:rsidR="000578EF" w:rsidRPr="00EC50C0" w:rsidRDefault="000578EF" w:rsidP="000578EF">
      <w:pPr>
        <w:pStyle w:val="a-tekstas-numeravimas-2"/>
        <w:numPr>
          <w:ilvl w:val="2"/>
          <w:numId w:val="8"/>
        </w:numPr>
        <w:tabs>
          <w:tab w:val="left" w:pos="1701"/>
        </w:tabs>
        <w:spacing w:after="0" w:afterAutospacing="0"/>
        <w:ind w:left="720"/>
        <w:rPr>
          <w:rFonts w:cs="Arial"/>
        </w:rPr>
      </w:pPr>
      <w:bookmarkStart w:id="48" w:name="_Toc186729877"/>
      <w:bookmarkStart w:id="49" w:name="_Toc187343443"/>
      <w:r w:rsidRPr="00EC50C0">
        <w:t>The software used in information systems (for processing personal data) must comply with software security best practices, security best practices in software development, software development frameworks, standards (e.g., Agile, OWASP, etc.);</w:t>
      </w:r>
      <w:bookmarkEnd w:id="48"/>
      <w:bookmarkEnd w:id="49"/>
    </w:p>
    <w:p w14:paraId="19BC382A" w14:textId="77777777" w:rsidR="000578EF" w:rsidRPr="00EC50C0" w:rsidRDefault="000578EF" w:rsidP="000578EF">
      <w:pPr>
        <w:pStyle w:val="Default"/>
        <w:numPr>
          <w:ilvl w:val="2"/>
          <w:numId w:val="8"/>
        </w:numPr>
        <w:tabs>
          <w:tab w:val="left" w:pos="851"/>
        </w:tabs>
        <w:ind w:left="720"/>
        <w:jc w:val="both"/>
        <w:rPr>
          <w:rFonts w:ascii="Arial" w:hAnsi="Arial" w:cs="Arial"/>
          <w:color w:val="auto"/>
          <w:sz w:val="22"/>
          <w:szCs w:val="22"/>
        </w:rPr>
      </w:pPr>
      <w:r w:rsidRPr="00EC50C0">
        <w:rPr>
          <w:rFonts w:ascii="Arial" w:hAnsi="Arial"/>
          <w:color w:val="auto"/>
          <w:sz w:val="22"/>
        </w:rPr>
        <w:lastRenderedPageBreak/>
        <w:t>Software development must be carried out in a dedicated environment that is not connected to IT systems used to process personal data. When testing systems, test (not real) personal data should be used. Where this is not possible, specific procedures must be put in place to protect the personal data used in the testing;</w:t>
      </w:r>
    </w:p>
    <w:p w14:paraId="64C366FE" w14:textId="77777777" w:rsidR="000578EF" w:rsidRPr="00EC50C0" w:rsidRDefault="000578EF" w:rsidP="000578EF">
      <w:pPr>
        <w:pStyle w:val="a-tekstas-numeravimas-2"/>
        <w:numPr>
          <w:ilvl w:val="2"/>
          <w:numId w:val="8"/>
        </w:numPr>
        <w:tabs>
          <w:tab w:val="left" w:pos="1701"/>
        </w:tabs>
        <w:spacing w:after="0" w:afterAutospacing="0"/>
        <w:ind w:left="720"/>
        <w:rPr>
          <w:rFonts w:cs="Arial"/>
        </w:rPr>
      </w:pPr>
      <w:bookmarkStart w:id="50" w:name="_Toc186729878"/>
      <w:bookmarkStart w:id="51" w:name="_Toc187343444"/>
      <w:r w:rsidRPr="00EC50C0">
        <w:t>After software development, testing and verification, basic safety requirements must have already been met before the start of system installation and operation;</w:t>
      </w:r>
      <w:bookmarkEnd w:id="50"/>
      <w:bookmarkEnd w:id="51"/>
    </w:p>
    <w:p w14:paraId="3752FFE8" w14:textId="77777777" w:rsidR="000578EF" w:rsidRPr="00EC50C0" w:rsidRDefault="000578EF" w:rsidP="000578EF">
      <w:pPr>
        <w:pStyle w:val="a-tekstas-numeravimas-2"/>
        <w:numPr>
          <w:ilvl w:val="2"/>
          <w:numId w:val="8"/>
        </w:numPr>
        <w:tabs>
          <w:tab w:val="left" w:pos="1701"/>
        </w:tabs>
        <w:spacing w:after="0" w:afterAutospacing="0"/>
        <w:ind w:left="720"/>
        <w:rPr>
          <w:rFonts w:cs="Arial"/>
        </w:rPr>
      </w:pPr>
      <w:bookmarkStart w:id="52" w:name="_Toc186729879"/>
      <w:bookmarkStart w:id="53" w:name="_Toc187343445"/>
      <w:r w:rsidRPr="00EC50C0">
        <w:t>Where the Processor uses cloud or other data storage services (e.g., hosting and storing personal data in cloud storage) to process personal data received from the Controller:</w:t>
      </w:r>
      <w:bookmarkEnd w:id="52"/>
      <w:bookmarkEnd w:id="53"/>
    </w:p>
    <w:p w14:paraId="063034C3" w14:textId="77777777" w:rsidR="000578EF" w:rsidRPr="00EC50C0" w:rsidRDefault="000578EF" w:rsidP="000578EF">
      <w:pPr>
        <w:pStyle w:val="a-tekstas-numeravimas-3"/>
        <w:numPr>
          <w:ilvl w:val="3"/>
          <w:numId w:val="8"/>
        </w:numPr>
        <w:spacing w:after="0" w:afterAutospacing="0"/>
        <w:ind w:left="851" w:hanging="851"/>
        <w:rPr>
          <w:rFonts w:cs="Arial"/>
        </w:rPr>
      </w:pPr>
      <w:bookmarkStart w:id="54" w:name="_Toc186729880"/>
      <w:bookmarkStart w:id="55" w:name="_Toc187343446"/>
      <w:r w:rsidRPr="00EC50C0">
        <w:t>The Processor or the Processor’s service provider delivering the services must be certified to ISO 27001;</w:t>
      </w:r>
      <w:bookmarkEnd w:id="54"/>
      <w:bookmarkEnd w:id="55"/>
    </w:p>
    <w:p w14:paraId="0264C947" w14:textId="77777777" w:rsidR="000578EF" w:rsidRPr="00EC50C0" w:rsidRDefault="000578EF" w:rsidP="000578EF">
      <w:pPr>
        <w:pStyle w:val="a-tekstas-numeravimas-3"/>
        <w:numPr>
          <w:ilvl w:val="3"/>
          <w:numId w:val="8"/>
        </w:numPr>
        <w:spacing w:after="0" w:afterAutospacing="0"/>
        <w:ind w:left="851" w:hanging="851"/>
        <w:rPr>
          <w:rFonts w:cs="Arial"/>
        </w:rPr>
      </w:pPr>
      <w:bookmarkStart w:id="56" w:name="_Toc186729881"/>
      <w:bookmarkStart w:id="57" w:name="_Toc187343447"/>
      <w:r w:rsidRPr="00EC50C0">
        <w:t>The data centres of the services must be located in a country of the European Economic Area and the personal data stored cannot be transferred outside the European Economic Area.</w:t>
      </w:r>
      <w:bookmarkEnd w:id="56"/>
      <w:bookmarkEnd w:id="57"/>
    </w:p>
    <w:p w14:paraId="6F8A5140" w14:textId="77777777" w:rsidR="000578EF" w:rsidRPr="00EC50C0" w:rsidRDefault="000578EF" w:rsidP="000578EF">
      <w:pPr>
        <w:pStyle w:val="a-tekstas-numeravimas-1"/>
        <w:numPr>
          <w:ilvl w:val="1"/>
          <w:numId w:val="8"/>
        </w:numPr>
        <w:spacing w:before="0" w:line="240" w:lineRule="auto"/>
        <w:ind w:left="720"/>
        <w:rPr>
          <w:rFonts w:ascii="Arial" w:hAnsi="Arial" w:cs="Arial"/>
          <w:b/>
        </w:rPr>
      </w:pPr>
      <w:bookmarkStart w:id="58" w:name="_Toc186729882"/>
      <w:bookmarkStart w:id="59" w:name="_Toc187343448"/>
      <w:r w:rsidRPr="00EC50C0">
        <w:rPr>
          <w:rFonts w:ascii="Arial" w:hAnsi="Arial"/>
          <w:b/>
        </w:rPr>
        <w:t>Data deletion, removal:</w:t>
      </w:r>
      <w:bookmarkEnd w:id="58"/>
      <w:bookmarkEnd w:id="59"/>
    </w:p>
    <w:p w14:paraId="285C07C1" w14:textId="77777777" w:rsidR="000578EF" w:rsidRPr="00EC50C0" w:rsidRDefault="000578EF" w:rsidP="000578EF">
      <w:pPr>
        <w:pStyle w:val="a-tekstas-numeravimas-2"/>
        <w:numPr>
          <w:ilvl w:val="2"/>
          <w:numId w:val="8"/>
        </w:numPr>
        <w:spacing w:after="0" w:afterAutospacing="0"/>
        <w:ind w:left="720"/>
        <w:rPr>
          <w:rFonts w:cs="Arial"/>
        </w:rPr>
      </w:pPr>
      <w:bookmarkStart w:id="60" w:name="_Toc186729883"/>
      <w:bookmarkStart w:id="61" w:name="_Toc187343449"/>
      <w:r w:rsidRPr="00EC50C0">
        <w:t>Deletion of personal data after the expiry of the set retention period shall be ensured.</w:t>
      </w:r>
      <w:bookmarkEnd w:id="60"/>
      <w:bookmarkEnd w:id="61"/>
    </w:p>
    <w:p w14:paraId="6DA2391F" w14:textId="77777777" w:rsidR="000578EF" w:rsidRPr="00EC50C0" w:rsidRDefault="000578EF" w:rsidP="000578EF">
      <w:pPr>
        <w:pStyle w:val="a-tekstas-numeravimas-2"/>
        <w:numPr>
          <w:ilvl w:val="2"/>
          <w:numId w:val="8"/>
        </w:numPr>
        <w:spacing w:after="0" w:afterAutospacing="0"/>
        <w:ind w:left="720"/>
        <w:rPr>
          <w:rFonts w:cs="Arial"/>
        </w:rPr>
      </w:pPr>
      <w:bookmarkStart w:id="62" w:name="_Toc186729884"/>
      <w:bookmarkStart w:id="63" w:name="_Toc187343450"/>
      <w:r w:rsidRPr="00EC50C0">
        <w:t>Before any data storage medium can be removed, all personal data on it must be destroyed using dedicated software that supports reliable data destruction algorithms.</w:t>
      </w:r>
      <w:bookmarkEnd w:id="62"/>
      <w:bookmarkEnd w:id="63"/>
      <w:r w:rsidRPr="00EC50C0">
        <w:t xml:space="preserve"> </w:t>
      </w:r>
    </w:p>
    <w:p w14:paraId="03765B71" w14:textId="77777777" w:rsidR="000578EF" w:rsidRPr="00EC50C0" w:rsidRDefault="000578EF" w:rsidP="000578EF">
      <w:pPr>
        <w:pStyle w:val="a-tekstas-numeravimas-2"/>
        <w:numPr>
          <w:ilvl w:val="2"/>
          <w:numId w:val="8"/>
        </w:numPr>
        <w:spacing w:after="0" w:afterAutospacing="0"/>
        <w:ind w:left="720"/>
        <w:rPr>
          <w:rFonts w:cs="Arial"/>
        </w:rPr>
      </w:pPr>
      <w:bookmarkStart w:id="64" w:name="_Toc186729885"/>
      <w:bookmarkStart w:id="65" w:name="_Toc187343451"/>
      <w:r w:rsidRPr="00EC50C0">
        <w:t>Where applicable, paper data media on which personal data have been stored or collected shall be destroyed in paper shredders or using other mechanical means.</w:t>
      </w:r>
      <w:bookmarkEnd w:id="64"/>
      <w:bookmarkEnd w:id="65"/>
    </w:p>
    <w:p w14:paraId="6E9EB738" w14:textId="77777777" w:rsidR="000578EF" w:rsidRPr="00EC50C0" w:rsidRDefault="000578EF" w:rsidP="000578EF">
      <w:pPr>
        <w:pStyle w:val="a-tekstas-numeravimas-1"/>
        <w:numPr>
          <w:ilvl w:val="1"/>
          <w:numId w:val="8"/>
        </w:numPr>
        <w:spacing w:before="0" w:line="240" w:lineRule="auto"/>
        <w:ind w:left="720"/>
        <w:rPr>
          <w:rFonts w:ascii="Arial" w:hAnsi="Arial" w:cs="Arial"/>
          <w:b/>
        </w:rPr>
      </w:pPr>
      <w:bookmarkStart w:id="66" w:name="_Toc186729886"/>
      <w:bookmarkStart w:id="67" w:name="_Toc187343452"/>
      <w:r w:rsidRPr="00EC50C0">
        <w:rPr>
          <w:rFonts w:ascii="Arial" w:hAnsi="Arial"/>
          <w:b/>
        </w:rPr>
        <w:t>Physical access control:</w:t>
      </w:r>
      <w:bookmarkEnd w:id="66"/>
      <w:bookmarkEnd w:id="67"/>
      <w:r w:rsidRPr="00EC50C0">
        <w:rPr>
          <w:rFonts w:ascii="Arial" w:hAnsi="Arial"/>
          <w:b/>
        </w:rPr>
        <w:t xml:space="preserve"> </w:t>
      </w:r>
    </w:p>
    <w:p w14:paraId="59E7CFE3" w14:textId="77777777" w:rsidR="000578EF" w:rsidRPr="00EC50C0" w:rsidRDefault="000578EF" w:rsidP="000578EF">
      <w:pPr>
        <w:pStyle w:val="a-tekstas-numeravimas-2"/>
        <w:numPr>
          <w:ilvl w:val="2"/>
          <w:numId w:val="8"/>
        </w:numPr>
        <w:spacing w:after="0" w:afterAutospacing="0"/>
        <w:ind w:left="720"/>
        <w:rPr>
          <w:rFonts w:cs="Arial"/>
        </w:rPr>
      </w:pPr>
      <w:bookmarkStart w:id="68" w:name="_Toc186729887"/>
      <w:bookmarkStart w:id="69" w:name="_Toc187343453"/>
      <w:r w:rsidRPr="00EC50C0">
        <w:t>Physical protection of the environment and the premises where the IT systems infrastructure is located against unauthorised access must be implemented.</w:t>
      </w:r>
      <w:bookmarkEnd w:id="68"/>
      <w:bookmarkEnd w:id="69"/>
      <w:r w:rsidRPr="00EC50C0">
        <w:t xml:space="preserve"> </w:t>
      </w:r>
    </w:p>
    <w:p w14:paraId="2D1F0AB6" w14:textId="77777777" w:rsidR="000578EF" w:rsidRPr="00EC50C0" w:rsidRDefault="000578EF" w:rsidP="000578EF">
      <w:pPr>
        <w:pStyle w:val="Default"/>
        <w:numPr>
          <w:ilvl w:val="0"/>
          <w:numId w:val="8"/>
        </w:numPr>
        <w:tabs>
          <w:tab w:val="left" w:pos="851"/>
        </w:tabs>
        <w:spacing w:before="160" w:after="160"/>
        <w:jc w:val="both"/>
        <w:rPr>
          <w:rFonts w:ascii="Arial" w:hAnsi="Arial" w:cs="Arial"/>
          <w:b/>
          <w:bCs/>
          <w:color w:val="auto"/>
          <w:sz w:val="22"/>
          <w:szCs w:val="22"/>
        </w:rPr>
      </w:pPr>
      <w:r w:rsidRPr="00EC50C0">
        <w:rPr>
          <w:rFonts w:ascii="Arial" w:hAnsi="Arial"/>
          <w:b/>
          <w:color w:val="auto"/>
          <w:sz w:val="22"/>
        </w:rPr>
        <w:t>Compliance</w:t>
      </w:r>
    </w:p>
    <w:p w14:paraId="1AEABA64" w14:textId="77777777" w:rsidR="000578EF" w:rsidRPr="00EC50C0" w:rsidRDefault="000578EF" w:rsidP="000578EF">
      <w:pPr>
        <w:pStyle w:val="BodyText"/>
        <w:numPr>
          <w:ilvl w:val="1"/>
          <w:numId w:val="10"/>
        </w:numPr>
        <w:tabs>
          <w:tab w:val="left" w:pos="851"/>
        </w:tabs>
        <w:spacing w:after="0"/>
        <w:ind w:left="709"/>
        <w:jc w:val="both"/>
        <w:rPr>
          <w:rFonts w:ascii="Arial" w:hAnsi="Arial" w:cs="Arial"/>
        </w:rPr>
      </w:pPr>
      <w:r w:rsidRPr="00EC50C0">
        <w:rPr>
          <w:rFonts w:ascii="Arial" w:hAnsi="Arial"/>
        </w:rPr>
        <w:t xml:space="preserve">Upon written request by the Controller, the Processor shall promptly provide the Controller with a report on compliance with the Security Requirements. </w:t>
      </w:r>
    </w:p>
    <w:p w14:paraId="39FD52BD" w14:textId="77777777" w:rsidR="000578EF" w:rsidRPr="00EC50C0" w:rsidRDefault="000578EF" w:rsidP="000578EF">
      <w:pPr>
        <w:pStyle w:val="BodyText"/>
        <w:numPr>
          <w:ilvl w:val="1"/>
          <w:numId w:val="10"/>
        </w:numPr>
        <w:tabs>
          <w:tab w:val="left" w:pos="851"/>
        </w:tabs>
        <w:spacing w:after="0"/>
        <w:ind w:left="720"/>
        <w:jc w:val="both"/>
        <w:rPr>
          <w:rFonts w:ascii="Arial" w:hAnsi="Arial" w:cs="Arial"/>
        </w:rPr>
      </w:pPr>
      <w:r w:rsidRPr="00EC50C0">
        <w:rPr>
          <w:rFonts w:ascii="Arial" w:hAnsi="Arial"/>
        </w:rPr>
        <w:t xml:space="preserve">The above-mentioned requirements shall apply equally to all </w:t>
      </w:r>
      <w:r>
        <w:rPr>
          <w:rFonts w:ascii="Arial" w:hAnsi="Arial"/>
        </w:rPr>
        <w:t>Sub-p</w:t>
      </w:r>
      <w:r w:rsidRPr="00EC50C0">
        <w:rPr>
          <w:rFonts w:ascii="Arial" w:hAnsi="Arial"/>
        </w:rPr>
        <w:t xml:space="preserve">rocessors engaged by the Processor, unless the Controller objects to the use of </w:t>
      </w:r>
      <w:r>
        <w:rPr>
          <w:rFonts w:ascii="Arial" w:hAnsi="Arial"/>
        </w:rPr>
        <w:t>Sub-p</w:t>
      </w:r>
      <w:r w:rsidRPr="00EC50C0">
        <w:rPr>
          <w:rFonts w:ascii="Arial" w:hAnsi="Arial"/>
        </w:rPr>
        <w:t xml:space="preserve">rocessors by the Processor. </w:t>
      </w:r>
    </w:p>
    <w:p w14:paraId="465BF048" w14:textId="77777777" w:rsidR="000578EF" w:rsidRPr="00EC50C0" w:rsidRDefault="000578EF" w:rsidP="000578EF">
      <w:pPr>
        <w:pStyle w:val="BodyText"/>
        <w:numPr>
          <w:ilvl w:val="1"/>
          <w:numId w:val="10"/>
        </w:numPr>
        <w:tabs>
          <w:tab w:val="left" w:pos="851"/>
        </w:tabs>
        <w:spacing w:after="0"/>
        <w:ind w:left="720"/>
        <w:jc w:val="both"/>
        <w:rPr>
          <w:rFonts w:ascii="Arial" w:hAnsi="Arial" w:cs="Arial"/>
        </w:rPr>
      </w:pPr>
      <w:r w:rsidRPr="00EC50C0">
        <w:rPr>
          <w:rFonts w:ascii="Arial" w:hAnsi="Arial"/>
        </w:rPr>
        <w:t>The Controller shall have the right, as set out in this Agreement, to audit the Processor’s compliance with these Security Requirements.</w:t>
      </w:r>
    </w:p>
    <w:p w14:paraId="501DC8E8" w14:textId="77777777" w:rsidR="000578EF" w:rsidRPr="00EC50C0" w:rsidRDefault="000578EF" w:rsidP="000578EF">
      <w:pPr>
        <w:pStyle w:val="BodyText"/>
        <w:tabs>
          <w:tab w:val="left" w:pos="851"/>
        </w:tabs>
        <w:spacing w:after="0"/>
        <w:ind w:left="720"/>
        <w:jc w:val="both"/>
        <w:rPr>
          <w:rFonts w:ascii="Arial" w:hAnsi="Arial" w:cs="Arial"/>
        </w:rPr>
      </w:pPr>
    </w:p>
    <w:p w14:paraId="21B14273" w14:textId="77777777" w:rsidR="000578EF" w:rsidRPr="00EC50C0" w:rsidRDefault="000578EF" w:rsidP="000578EF">
      <w:pPr>
        <w:pStyle w:val="BodyText"/>
        <w:tabs>
          <w:tab w:val="left" w:pos="851"/>
        </w:tabs>
        <w:spacing w:after="0"/>
        <w:ind w:left="720"/>
        <w:jc w:val="center"/>
        <w:rPr>
          <w:rFonts w:ascii="Arial" w:hAnsi="Arial" w:cs="Arial"/>
        </w:rPr>
      </w:pPr>
      <w:r w:rsidRPr="00EC50C0">
        <w:rPr>
          <w:rFonts w:ascii="Arial" w:hAnsi="Arial"/>
        </w:rPr>
        <w:t>______________________</w:t>
      </w:r>
    </w:p>
    <w:bookmarkEnd w:id="0"/>
    <w:bookmarkEnd w:id="1"/>
    <w:p w14:paraId="284F0B46" w14:textId="77777777" w:rsidR="000578EF" w:rsidRPr="00EC50C0" w:rsidRDefault="000578EF" w:rsidP="000578EF">
      <w:pPr>
        <w:rPr>
          <w:rFonts w:cs="Arial"/>
        </w:rPr>
      </w:pPr>
    </w:p>
    <w:p w14:paraId="7B703991" w14:textId="77777777" w:rsidR="000578EF" w:rsidRPr="00EC50C0" w:rsidRDefault="000578EF" w:rsidP="000578EF">
      <w:pPr>
        <w:tabs>
          <w:tab w:val="left" w:pos="851"/>
        </w:tabs>
        <w:contextualSpacing/>
        <w:rPr>
          <w:rFonts w:cs="Arial"/>
          <w:b/>
          <w:bCs/>
          <w:color w:val="000000"/>
        </w:rPr>
      </w:pPr>
    </w:p>
    <w:p w14:paraId="1B5D7846" w14:textId="77777777" w:rsidR="000578EF" w:rsidRPr="00EC50C0" w:rsidRDefault="000578EF" w:rsidP="000578EF">
      <w:pPr>
        <w:tabs>
          <w:tab w:val="left" w:pos="851"/>
        </w:tabs>
        <w:contextualSpacing/>
        <w:rPr>
          <w:rFonts w:cs="Arial"/>
          <w:color w:val="000000"/>
        </w:rPr>
      </w:pPr>
    </w:p>
    <w:p w14:paraId="01E73D6B" w14:textId="77777777" w:rsidR="00F14F75" w:rsidRDefault="00F14F75"/>
    <w:sectPr w:rsidR="00F14F75">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7A2C" w14:textId="77777777" w:rsidR="000578EF" w:rsidRDefault="000578EF" w:rsidP="000578EF">
      <w:r>
        <w:separator/>
      </w:r>
    </w:p>
  </w:endnote>
  <w:endnote w:type="continuationSeparator" w:id="0">
    <w:p w14:paraId="65019F58" w14:textId="77777777" w:rsidR="000578EF" w:rsidRDefault="000578EF" w:rsidP="0005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1F7F" w14:textId="77777777" w:rsidR="000578EF" w:rsidRPr="00B93E4E" w:rsidRDefault="000578EF">
    <w:pPr>
      <w:pStyle w:val="Footer"/>
      <w:jc w:val="right"/>
      <w:rPr>
        <w:sz w:val="18"/>
        <w:szCs w:val="18"/>
      </w:rPr>
    </w:pPr>
    <w:r w:rsidRPr="00B93E4E">
      <w:rPr>
        <w:sz w:val="18"/>
      </w:rPr>
      <w:fldChar w:fldCharType="begin"/>
    </w:r>
    <w:r w:rsidRPr="00B93E4E">
      <w:rPr>
        <w:sz w:val="18"/>
      </w:rPr>
      <w:instrText xml:space="preserve"> PAGE   \* MERGEFORMAT </w:instrText>
    </w:r>
    <w:r w:rsidRPr="00B93E4E">
      <w:rPr>
        <w:sz w:val="18"/>
      </w:rPr>
      <w:fldChar w:fldCharType="separate"/>
    </w:r>
    <w:r w:rsidRPr="00B93E4E">
      <w:rPr>
        <w:sz w:val="18"/>
      </w:rPr>
      <w:t>6</w:t>
    </w:r>
    <w:r w:rsidRPr="00B93E4E">
      <w:rPr>
        <w:sz w:val="18"/>
      </w:rPr>
      <w:fldChar w:fldCharType="end"/>
    </w:r>
  </w:p>
  <w:p w14:paraId="432134C9" w14:textId="77777777" w:rsidR="000578EF" w:rsidRDefault="00057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578EF" w14:paraId="69505FBC" w14:textId="77777777" w:rsidTr="00FA2ECA">
      <w:trPr>
        <w:trHeight w:val="300"/>
      </w:trPr>
      <w:tc>
        <w:tcPr>
          <w:tcW w:w="3210" w:type="dxa"/>
        </w:tcPr>
        <w:p w14:paraId="5929FD66" w14:textId="77777777" w:rsidR="000578EF" w:rsidRDefault="000578EF" w:rsidP="00FA2ECA">
          <w:pPr>
            <w:pStyle w:val="Header"/>
            <w:ind w:left="-115"/>
            <w:jc w:val="left"/>
          </w:pPr>
        </w:p>
      </w:tc>
      <w:tc>
        <w:tcPr>
          <w:tcW w:w="3210" w:type="dxa"/>
        </w:tcPr>
        <w:p w14:paraId="3AEB09CC" w14:textId="77777777" w:rsidR="000578EF" w:rsidRDefault="000578EF" w:rsidP="00FA2ECA">
          <w:pPr>
            <w:pStyle w:val="Header"/>
            <w:jc w:val="center"/>
          </w:pPr>
        </w:p>
      </w:tc>
      <w:tc>
        <w:tcPr>
          <w:tcW w:w="3210" w:type="dxa"/>
        </w:tcPr>
        <w:p w14:paraId="65E3A57B" w14:textId="77777777" w:rsidR="000578EF" w:rsidRDefault="000578EF" w:rsidP="00FA2ECA">
          <w:pPr>
            <w:pStyle w:val="Header"/>
            <w:ind w:right="-115"/>
            <w:jc w:val="right"/>
          </w:pPr>
        </w:p>
      </w:tc>
    </w:tr>
  </w:tbl>
  <w:p w14:paraId="4B759965" w14:textId="77777777" w:rsidR="000578EF" w:rsidRDefault="00057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977D" w14:textId="77777777" w:rsidR="000578EF" w:rsidRDefault="000578EF" w:rsidP="000578EF">
      <w:r>
        <w:separator/>
      </w:r>
    </w:p>
  </w:footnote>
  <w:footnote w:type="continuationSeparator" w:id="0">
    <w:p w14:paraId="7AC142BF" w14:textId="77777777" w:rsidR="000578EF" w:rsidRDefault="000578EF" w:rsidP="000578EF">
      <w:r>
        <w:continuationSeparator/>
      </w:r>
    </w:p>
  </w:footnote>
  <w:footnote w:id="1">
    <w:p w14:paraId="6BDBCE00" w14:textId="77777777" w:rsidR="000578EF" w:rsidRDefault="000578EF" w:rsidP="000578EF">
      <w:pPr>
        <w:pStyle w:val="FootnoteText"/>
      </w:pPr>
      <w:r>
        <w:rPr>
          <w:rStyle w:val="FootnoteReference"/>
        </w:rPr>
        <w:footnoteRef/>
      </w:r>
      <w:r>
        <w:t xml:space="preserve"> NOTE. Third countries shall mean countries outside the European Economic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578EF" w14:paraId="2267EDDC" w14:textId="77777777" w:rsidTr="00FA2ECA">
      <w:trPr>
        <w:trHeight w:val="300"/>
      </w:trPr>
      <w:tc>
        <w:tcPr>
          <w:tcW w:w="3210" w:type="dxa"/>
        </w:tcPr>
        <w:p w14:paraId="5FB66E17" w14:textId="77777777" w:rsidR="000578EF" w:rsidRDefault="000578EF" w:rsidP="00FA2ECA">
          <w:pPr>
            <w:pStyle w:val="Header"/>
            <w:ind w:left="-115"/>
            <w:jc w:val="left"/>
          </w:pPr>
        </w:p>
      </w:tc>
      <w:tc>
        <w:tcPr>
          <w:tcW w:w="3210" w:type="dxa"/>
        </w:tcPr>
        <w:p w14:paraId="74AA5F44" w14:textId="77777777" w:rsidR="000578EF" w:rsidRDefault="000578EF" w:rsidP="00FA2ECA">
          <w:pPr>
            <w:pStyle w:val="Header"/>
            <w:jc w:val="center"/>
          </w:pPr>
        </w:p>
      </w:tc>
      <w:tc>
        <w:tcPr>
          <w:tcW w:w="3210" w:type="dxa"/>
        </w:tcPr>
        <w:p w14:paraId="471597A8" w14:textId="77777777" w:rsidR="000578EF" w:rsidRDefault="000578EF" w:rsidP="00FA2ECA">
          <w:pPr>
            <w:pStyle w:val="Header"/>
            <w:ind w:right="-115"/>
            <w:jc w:val="right"/>
          </w:pPr>
        </w:p>
      </w:tc>
    </w:tr>
  </w:tbl>
  <w:p w14:paraId="081CE4FF" w14:textId="77777777" w:rsidR="000578EF" w:rsidRDefault="00057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5B53"/>
    <w:multiLevelType w:val="multilevel"/>
    <w:tmpl w:val="CBB43D8E"/>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0C5346"/>
    <w:multiLevelType w:val="multilevel"/>
    <w:tmpl w:val="7D6891B6"/>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F16478"/>
    <w:multiLevelType w:val="multilevel"/>
    <w:tmpl w:val="175EE184"/>
    <w:lvl w:ilvl="0">
      <w:start w:val="3"/>
      <w:numFmt w:val="decimal"/>
      <w:lvlText w:val="%1."/>
      <w:lvlJc w:val="left"/>
      <w:pPr>
        <w:ind w:left="360" w:hanging="36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15:restartNumberingAfterBreak="0">
    <w:nsid w:val="2D317099"/>
    <w:multiLevelType w:val="hybridMultilevel"/>
    <w:tmpl w:val="DF741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12E0EAB"/>
    <w:multiLevelType w:val="multilevel"/>
    <w:tmpl w:val="CE6EFB7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60C2369B"/>
    <w:multiLevelType w:val="hybridMultilevel"/>
    <w:tmpl w:val="BD0607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331FBC"/>
    <w:multiLevelType w:val="multilevel"/>
    <w:tmpl w:val="62A6F58C"/>
    <w:lvl w:ilvl="0">
      <w:start w:val="2"/>
      <w:numFmt w:val="decimal"/>
      <w:lvlText w:val="%1."/>
      <w:lvlJc w:val="left"/>
      <w:pPr>
        <w:ind w:left="540" w:hanging="54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E695DEE"/>
    <w:multiLevelType w:val="multilevel"/>
    <w:tmpl w:val="980CAF86"/>
    <w:lvl w:ilvl="0">
      <w:start w:val="2"/>
      <w:numFmt w:val="decimal"/>
      <w:lvlText w:val="%1."/>
      <w:lvlJc w:val="left"/>
      <w:pPr>
        <w:ind w:left="360" w:hanging="36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46103468">
    <w:abstractNumId w:val="5"/>
  </w:num>
  <w:num w:numId="2" w16cid:durableId="2050717928">
    <w:abstractNumId w:val="3"/>
  </w:num>
  <w:num w:numId="3" w16cid:durableId="15043229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042807">
    <w:abstractNumId w:val="4"/>
  </w:num>
  <w:num w:numId="5" w16cid:durableId="1772241281">
    <w:abstractNumId w:val="7"/>
  </w:num>
  <w:num w:numId="6" w16cid:durableId="386032428">
    <w:abstractNumId w:val="1"/>
  </w:num>
  <w:num w:numId="7" w16cid:durableId="1372803050">
    <w:abstractNumId w:val="0"/>
  </w:num>
  <w:num w:numId="8" w16cid:durableId="183520674">
    <w:abstractNumId w:val="9"/>
  </w:num>
  <w:num w:numId="9" w16cid:durableId="1513838842">
    <w:abstractNumId w:val="8"/>
  </w:num>
  <w:num w:numId="10" w16cid:durableId="119106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7C"/>
    <w:rsid w:val="000578EF"/>
    <w:rsid w:val="002B727C"/>
    <w:rsid w:val="00442FE2"/>
    <w:rsid w:val="008F49C5"/>
    <w:rsid w:val="00951191"/>
    <w:rsid w:val="00F1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FE8D"/>
  <w15:chartTrackingRefBased/>
  <w15:docId w15:val="{C5EFD639-F13C-4070-A54C-9F34E7E2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8EF"/>
    <w:pPr>
      <w:spacing w:after="0" w:line="240" w:lineRule="auto"/>
      <w:jc w:val="both"/>
    </w:pPr>
    <w:rPr>
      <w:rFonts w:ascii="Arial" w:eastAsia="Calibri" w:hAnsi="Arial" w:cs="Times New Roman"/>
      <w:kern w:val="0"/>
      <w:lang w:val="en-GB"/>
      <w14:ligatures w14:val="none"/>
    </w:rPr>
  </w:style>
  <w:style w:type="paragraph" w:styleId="Heading1">
    <w:name w:val="heading 1"/>
    <w:basedOn w:val="Normal"/>
    <w:next w:val="Normal"/>
    <w:link w:val="Heading1Char"/>
    <w:uiPriority w:val="9"/>
    <w:qFormat/>
    <w:rsid w:val="002B7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2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2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2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2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27C"/>
    <w:rPr>
      <w:rFonts w:eastAsiaTheme="majorEastAsia" w:cstheme="majorBidi"/>
      <w:color w:val="272727" w:themeColor="text1" w:themeTint="D8"/>
    </w:rPr>
  </w:style>
  <w:style w:type="paragraph" w:styleId="Title">
    <w:name w:val="Title"/>
    <w:basedOn w:val="Normal"/>
    <w:next w:val="Normal"/>
    <w:link w:val="TitleChar"/>
    <w:uiPriority w:val="10"/>
    <w:qFormat/>
    <w:rsid w:val="002B72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27C"/>
    <w:pPr>
      <w:spacing w:before="160"/>
      <w:jc w:val="center"/>
    </w:pPr>
    <w:rPr>
      <w:i/>
      <w:iCs/>
      <w:color w:val="404040" w:themeColor="text1" w:themeTint="BF"/>
    </w:rPr>
  </w:style>
  <w:style w:type="character" w:customStyle="1" w:styleId="QuoteChar">
    <w:name w:val="Quote Char"/>
    <w:basedOn w:val="DefaultParagraphFont"/>
    <w:link w:val="Quote"/>
    <w:uiPriority w:val="29"/>
    <w:rsid w:val="002B727C"/>
    <w:rPr>
      <w:i/>
      <w:iCs/>
      <w:color w:val="404040" w:themeColor="text1" w:themeTint="BF"/>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2B727C"/>
    <w:pPr>
      <w:ind w:left="720"/>
      <w:contextualSpacing/>
    </w:pPr>
  </w:style>
  <w:style w:type="character" w:styleId="IntenseEmphasis">
    <w:name w:val="Intense Emphasis"/>
    <w:basedOn w:val="DefaultParagraphFont"/>
    <w:uiPriority w:val="21"/>
    <w:qFormat/>
    <w:rsid w:val="002B727C"/>
    <w:rPr>
      <w:i/>
      <w:iCs/>
      <w:color w:val="0F4761" w:themeColor="accent1" w:themeShade="BF"/>
    </w:rPr>
  </w:style>
  <w:style w:type="paragraph" w:styleId="IntenseQuote">
    <w:name w:val="Intense Quote"/>
    <w:basedOn w:val="Normal"/>
    <w:next w:val="Normal"/>
    <w:link w:val="IntenseQuoteChar"/>
    <w:uiPriority w:val="30"/>
    <w:qFormat/>
    <w:rsid w:val="002B7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27C"/>
    <w:rPr>
      <w:i/>
      <w:iCs/>
      <w:color w:val="0F4761" w:themeColor="accent1" w:themeShade="BF"/>
    </w:rPr>
  </w:style>
  <w:style w:type="character" w:styleId="IntenseReference">
    <w:name w:val="Intense Reference"/>
    <w:basedOn w:val="DefaultParagraphFont"/>
    <w:uiPriority w:val="32"/>
    <w:qFormat/>
    <w:rsid w:val="002B727C"/>
    <w:rPr>
      <w:b/>
      <w:bCs/>
      <w:smallCaps/>
      <w:color w:val="0F4761" w:themeColor="accent1" w:themeShade="BF"/>
      <w:spacing w:val="5"/>
    </w:rPr>
  </w:style>
  <w:style w:type="paragraph" w:styleId="Header">
    <w:name w:val="header"/>
    <w:basedOn w:val="Normal"/>
    <w:link w:val="HeaderChar"/>
    <w:uiPriority w:val="99"/>
    <w:unhideWhenUsed/>
    <w:rsid w:val="000578EF"/>
    <w:pPr>
      <w:tabs>
        <w:tab w:val="center" w:pos="4986"/>
        <w:tab w:val="right" w:pos="9972"/>
      </w:tabs>
    </w:pPr>
  </w:style>
  <w:style w:type="character" w:customStyle="1" w:styleId="HeaderChar">
    <w:name w:val="Header Char"/>
    <w:basedOn w:val="DefaultParagraphFont"/>
    <w:link w:val="Header"/>
    <w:uiPriority w:val="99"/>
    <w:rsid w:val="000578EF"/>
    <w:rPr>
      <w:rFonts w:ascii="Arial" w:eastAsia="Calibri" w:hAnsi="Arial" w:cs="Times New Roman"/>
      <w:kern w:val="0"/>
      <w:lang w:val="en-GB"/>
      <w14:ligatures w14:val="none"/>
    </w:rPr>
  </w:style>
  <w:style w:type="paragraph" w:styleId="Footer">
    <w:name w:val="footer"/>
    <w:basedOn w:val="Normal"/>
    <w:link w:val="FooterChar"/>
    <w:uiPriority w:val="99"/>
    <w:unhideWhenUsed/>
    <w:rsid w:val="000578EF"/>
    <w:pPr>
      <w:tabs>
        <w:tab w:val="center" w:pos="4986"/>
        <w:tab w:val="right" w:pos="9972"/>
      </w:tabs>
    </w:pPr>
  </w:style>
  <w:style w:type="character" w:customStyle="1" w:styleId="FooterChar">
    <w:name w:val="Footer Char"/>
    <w:basedOn w:val="DefaultParagraphFont"/>
    <w:link w:val="Footer"/>
    <w:uiPriority w:val="99"/>
    <w:rsid w:val="000578EF"/>
    <w:rPr>
      <w:rFonts w:ascii="Arial" w:eastAsia="Calibri" w:hAnsi="Arial" w:cs="Times New Roman"/>
      <w:kern w:val="0"/>
      <w:lang w:val="en-GB"/>
      <w14:ligatures w14:val="none"/>
    </w:rPr>
  </w:style>
  <w:style w:type="paragraph" w:customStyle="1" w:styleId="Default">
    <w:name w:val="Default"/>
    <w:qFormat/>
    <w:rsid w:val="000578EF"/>
    <w:pPr>
      <w:autoSpaceDE w:val="0"/>
      <w:autoSpaceDN w:val="0"/>
      <w:adjustRightInd w:val="0"/>
      <w:spacing w:after="0" w:line="240" w:lineRule="auto"/>
    </w:pPr>
    <w:rPr>
      <w:rFonts w:ascii="Times New Roman" w:eastAsia="Calibri" w:hAnsi="Times New Roman" w:cs="Times New Roman"/>
      <w:color w:val="000000"/>
      <w:kern w:val="0"/>
      <w:sz w:val="24"/>
      <w:szCs w:val="24"/>
      <w:lang w:val="en-GB"/>
      <w14:ligatures w14:val="none"/>
    </w:rPr>
  </w:style>
  <w:style w:type="character" w:styleId="Hyperlink">
    <w:name w:val="Hyperlink"/>
    <w:uiPriority w:val="99"/>
    <w:unhideWhenUsed/>
    <w:rsid w:val="000578EF"/>
    <w:rPr>
      <w:color w:val="0563C1"/>
      <w:u w:val="single"/>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link w:val="ListParagraph"/>
    <w:uiPriority w:val="34"/>
    <w:locked/>
    <w:rsid w:val="000578EF"/>
  </w:style>
  <w:style w:type="character" w:customStyle="1" w:styleId="normaltextrun">
    <w:name w:val="normaltextrun"/>
    <w:basedOn w:val="DefaultParagraphFont"/>
    <w:rsid w:val="000578EF"/>
  </w:style>
  <w:style w:type="paragraph" w:customStyle="1" w:styleId="SLONormal">
    <w:name w:val="SLO Normal"/>
    <w:qFormat/>
    <w:rsid w:val="000578EF"/>
    <w:p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styleId="BodyText">
    <w:name w:val="Body Text"/>
    <w:basedOn w:val="Normal"/>
    <w:link w:val="BodyTextChar"/>
    <w:uiPriority w:val="99"/>
    <w:semiHidden/>
    <w:unhideWhenUsed/>
    <w:rsid w:val="000578EF"/>
    <w:pPr>
      <w:spacing w:after="120"/>
      <w:jc w:val="left"/>
    </w:pPr>
    <w:rPr>
      <w:rFonts w:ascii="Times New Roman" w:eastAsia="Times New Roman" w:hAnsi="Times New Roman"/>
      <w:lang w:eastAsia="lt-LT"/>
    </w:rPr>
  </w:style>
  <w:style w:type="character" w:customStyle="1" w:styleId="BodyTextChar">
    <w:name w:val="Body Text Char"/>
    <w:basedOn w:val="DefaultParagraphFont"/>
    <w:link w:val="BodyText"/>
    <w:uiPriority w:val="99"/>
    <w:semiHidden/>
    <w:rsid w:val="000578EF"/>
    <w:rPr>
      <w:rFonts w:ascii="Times New Roman" w:eastAsia="Times New Roman" w:hAnsi="Times New Roman" w:cs="Times New Roman"/>
      <w:kern w:val="0"/>
      <w:lang w:val="en-GB" w:eastAsia="lt-LT"/>
      <w14:ligatures w14:val="none"/>
    </w:rPr>
  </w:style>
  <w:style w:type="paragraph" w:customStyle="1" w:styleId="a-tekstas-numeravimas-1">
    <w:name w:val="a-tekstas-numeravimas-1"/>
    <w:basedOn w:val="Normal"/>
    <w:qFormat/>
    <w:rsid w:val="000578EF"/>
    <w:pPr>
      <w:numPr>
        <w:ilvl w:val="1"/>
        <w:numId w:val="3"/>
      </w:numPr>
      <w:spacing w:before="120" w:line="259" w:lineRule="auto"/>
      <w:outlineLvl w:val="1"/>
    </w:pPr>
    <w:rPr>
      <w:rFonts w:asciiTheme="minorHAnsi" w:eastAsiaTheme="minorHAnsi" w:hAnsiTheme="minorHAnsi" w:cstheme="minorBidi"/>
    </w:rPr>
  </w:style>
  <w:style w:type="paragraph" w:customStyle="1" w:styleId="a-tekstas-numeravimas-2">
    <w:name w:val="a-tekstas-numeravimas-2"/>
    <w:basedOn w:val="a-tekstas-numeravimas-1"/>
    <w:qFormat/>
    <w:rsid w:val="000578EF"/>
    <w:pPr>
      <w:numPr>
        <w:ilvl w:val="2"/>
      </w:numPr>
      <w:spacing w:before="0" w:after="100" w:afterAutospacing="1" w:line="240" w:lineRule="auto"/>
    </w:pPr>
    <w:rPr>
      <w:rFonts w:ascii="Arial" w:hAnsi="Arial"/>
    </w:rPr>
  </w:style>
  <w:style w:type="paragraph" w:customStyle="1" w:styleId="a-skyrius">
    <w:name w:val="a-skyrius"/>
    <w:basedOn w:val="Heading1"/>
    <w:qFormat/>
    <w:rsid w:val="000578EF"/>
    <w:pPr>
      <w:numPr>
        <w:numId w:val="3"/>
      </w:numPr>
      <w:spacing w:after="120"/>
      <w:ind w:left="360" w:hanging="360"/>
    </w:pPr>
    <w:rPr>
      <w:rFonts w:ascii="Arial" w:hAnsi="Arial"/>
      <w:b/>
      <w:color w:val="auto"/>
      <w:sz w:val="22"/>
      <w:szCs w:val="32"/>
    </w:rPr>
  </w:style>
  <w:style w:type="paragraph" w:customStyle="1" w:styleId="a-tekstas-numeravimas-3">
    <w:name w:val="a-tekstas-numeravimas-3"/>
    <w:basedOn w:val="a-tekstas-numeravimas-2"/>
    <w:rsid w:val="000578EF"/>
    <w:pPr>
      <w:numPr>
        <w:ilvl w:val="3"/>
      </w:numPr>
    </w:pPr>
  </w:style>
  <w:style w:type="paragraph" w:customStyle="1" w:styleId="a-tekstas-numeravimas-4">
    <w:name w:val="a-tekstas-numeravimas-4"/>
    <w:basedOn w:val="a-tekstas-numeravimas-3"/>
    <w:rsid w:val="000578EF"/>
    <w:pPr>
      <w:numPr>
        <w:ilvl w:val="4"/>
      </w:numPr>
      <w:outlineLvl w:val="4"/>
    </w:pPr>
  </w:style>
  <w:style w:type="table" w:customStyle="1" w:styleId="TableGrid1">
    <w:name w:val="Table Grid1"/>
    <w:basedOn w:val="TableNormal"/>
    <w:next w:val="TableGrid"/>
    <w:uiPriority w:val="39"/>
    <w:rsid w:val="000578EF"/>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578EF"/>
    <w:rPr>
      <w:sz w:val="20"/>
      <w:szCs w:val="20"/>
    </w:rPr>
  </w:style>
  <w:style w:type="character" w:customStyle="1" w:styleId="FootnoteTextChar">
    <w:name w:val="Footnote Text Char"/>
    <w:basedOn w:val="DefaultParagraphFont"/>
    <w:link w:val="FootnoteText"/>
    <w:uiPriority w:val="99"/>
    <w:semiHidden/>
    <w:rsid w:val="000578EF"/>
    <w:rPr>
      <w:rFonts w:ascii="Arial" w:eastAsia="Calibri" w:hAnsi="Arial" w:cs="Times New Roman"/>
      <w:kern w:val="0"/>
      <w:sz w:val="20"/>
      <w:szCs w:val="20"/>
      <w:lang w:val="en-GB"/>
      <w14:ligatures w14:val="none"/>
    </w:rPr>
  </w:style>
  <w:style w:type="character" w:styleId="FootnoteReference">
    <w:name w:val="footnote reference"/>
    <w:basedOn w:val="DefaultParagraphFont"/>
    <w:uiPriority w:val="99"/>
    <w:semiHidden/>
    <w:unhideWhenUsed/>
    <w:rsid w:val="000578EF"/>
    <w:rPr>
      <w:vertAlign w:val="superscript"/>
    </w:rPr>
  </w:style>
  <w:style w:type="table" w:styleId="TableGrid">
    <w:name w:val="Table Grid"/>
    <w:basedOn w:val="TableNormal"/>
    <w:uiPriority w:val="39"/>
    <w:rsid w:val="0005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ltg.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p@ltg.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7700</Words>
  <Characters>43893</Characters>
  <Application>Microsoft Office Word</Application>
  <DocSecurity>0</DocSecurity>
  <Lines>365</Lines>
  <Paragraphs>102</Paragraphs>
  <ScaleCrop>false</ScaleCrop>
  <Company/>
  <LinksUpToDate>false</LinksUpToDate>
  <CharactersWithSpaces>51491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Karklienė</dc:creator>
  <cp:keywords/>
  <dc:description/>
  <cp:lastModifiedBy>Živilė Karklienė</cp:lastModifiedBy>
  <cp:revision>3</cp:revision>
  <dcterms:created xsi:type="dcterms:W3CDTF">2025-01-24T10:56:00Z</dcterms:created>
  <dcterms:modified xsi:type="dcterms:W3CDTF">2025-01-24T10:58:00Z</dcterms:modified>
</cp:coreProperties>
</file>