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2C1A71" w:rsidRDefault="00BB12D6"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METALŲ LAUŽO</w:t>
      </w:r>
    </w:p>
    <w:p w14:paraId="04FF8C67" w14:textId="77777777" w:rsidR="007940B2" w:rsidRPr="002C1A71" w:rsidRDefault="007940B2"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PIRKIMO - PARDAVIMO</w:t>
      </w:r>
      <w:r w:rsidR="005D6213" w:rsidRPr="002C1A71">
        <w:rPr>
          <w:rFonts w:ascii="Arial" w:hAnsi="Arial" w:cs="Arial"/>
          <w:b/>
          <w:sz w:val="22"/>
          <w:szCs w:val="22"/>
          <w:lang w:val="lt-LT"/>
        </w:rPr>
        <w:t xml:space="preserve"> </w:t>
      </w:r>
      <w:r w:rsidRPr="002C1A71">
        <w:rPr>
          <w:rFonts w:ascii="Arial" w:hAnsi="Arial" w:cs="Arial"/>
          <w:b/>
          <w:sz w:val="22"/>
          <w:szCs w:val="22"/>
          <w:lang w:val="lt-LT"/>
        </w:rPr>
        <w:t>SUTARTIS</w:t>
      </w:r>
    </w:p>
    <w:p w14:paraId="5AB9F0A8" w14:textId="77777777" w:rsidR="007940B2" w:rsidRPr="002C1A71" w:rsidRDefault="007940B2" w:rsidP="009F498C">
      <w:pPr>
        <w:spacing w:line="276" w:lineRule="auto"/>
        <w:ind w:right="-27"/>
        <w:jc w:val="center"/>
        <w:rPr>
          <w:rFonts w:ascii="Arial" w:hAnsi="Arial" w:cs="Arial"/>
          <w:sz w:val="22"/>
          <w:szCs w:val="22"/>
          <w:lang w:val="lt-LT"/>
        </w:rPr>
      </w:pPr>
    </w:p>
    <w:p w14:paraId="2A524170" w14:textId="2BC9546B" w:rsidR="00C171BE" w:rsidRPr="002C1A71" w:rsidRDefault="00167C74" w:rsidP="009F498C">
      <w:pPr>
        <w:spacing w:line="276" w:lineRule="auto"/>
        <w:jc w:val="center"/>
        <w:rPr>
          <w:rFonts w:ascii="Arial" w:hAnsi="Arial" w:cs="Arial"/>
          <w:sz w:val="22"/>
          <w:szCs w:val="22"/>
          <w:lang w:val="lt-LT"/>
        </w:rPr>
      </w:pPr>
      <w:r w:rsidRPr="002C1A71">
        <w:rPr>
          <w:rFonts w:ascii="Arial" w:hAnsi="Arial" w:cs="Arial"/>
          <w:sz w:val="22"/>
          <w:szCs w:val="22"/>
          <w:lang w:val="lt-LT"/>
        </w:rPr>
        <w:t>20</w:t>
      </w:r>
      <w:r w:rsidR="00DF3BB2" w:rsidRPr="002C1A71">
        <w:rPr>
          <w:rFonts w:ascii="Arial" w:hAnsi="Arial" w:cs="Arial"/>
          <w:sz w:val="22"/>
          <w:szCs w:val="22"/>
          <w:lang w:val="lt-LT"/>
        </w:rPr>
        <w:t>2</w:t>
      </w:r>
      <w:r w:rsidR="00B263EE">
        <w:rPr>
          <w:rFonts w:ascii="Arial" w:hAnsi="Arial" w:cs="Arial"/>
          <w:sz w:val="22"/>
          <w:szCs w:val="22"/>
          <w:lang w:val="lt-LT"/>
        </w:rPr>
        <w:t>6</w:t>
      </w:r>
      <w:r w:rsidR="00BC7284" w:rsidRPr="002C1A71">
        <w:rPr>
          <w:rFonts w:ascii="Arial" w:hAnsi="Arial" w:cs="Arial"/>
          <w:sz w:val="22"/>
          <w:szCs w:val="22"/>
          <w:lang w:val="lt-LT"/>
        </w:rPr>
        <w:t xml:space="preserve"> m.                            Nr. </w:t>
      </w:r>
    </w:p>
    <w:p w14:paraId="30A52873" w14:textId="77777777" w:rsidR="00BC7284" w:rsidRPr="002C1A71" w:rsidRDefault="00BC7284" w:rsidP="009F498C">
      <w:pPr>
        <w:spacing w:line="276" w:lineRule="auto"/>
        <w:jc w:val="center"/>
        <w:rPr>
          <w:rFonts w:ascii="Arial" w:hAnsi="Arial" w:cs="Arial"/>
          <w:i/>
          <w:iCs/>
          <w:sz w:val="22"/>
          <w:szCs w:val="22"/>
          <w:lang w:val="lt-LT"/>
        </w:rPr>
      </w:pPr>
      <w:r w:rsidRPr="002C1A71">
        <w:rPr>
          <w:rFonts w:ascii="Arial" w:hAnsi="Arial" w:cs="Arial"/>
          <w:i/>
          <w:iCs/>
          <w:sz w:val="22"/>
          <w:szCs w:val="22"/>
          <w:lang w:val="lt-LT"/>
        </w:rPr>
        <w:t>Vilnius</w:t>
      </w:r>
    </w:p>
    <w:p w14:paraId="4B0D978C" w14:textId="77777777" w:rsidR="00460A03" w:rsidRPr="002C1A71" w:rsidRDefault="00460A03" w:rsidP="009F498C">
      <w:pPr>
        <w:spacing w:line="276" w:lineRule="auto"/>
        <w:ind w:right="-27"/>
        <w:jc w:val="both"/>
        <w:rPr>
          <w:rFonts w:ascii="Arial" w:hAnsi="Arial" w:cs="Arial"/>
          <w:sz w:val="22"/>
          <w:szCs w:val="22"/>
          <w:lang w:val="lt-LT"/>
        </w:rPr>
      </w:pPr>
    </w:p>
    <w:p w14:paraId="1B7D72CA" w14:textId="7BBA5A7C" w:rsidR="007940B2" w:rsidRPr="002C1A71" w:rsidRDefault="00062A1E" w:rsidP="007357AF">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
          <w:bCs/>
          <w:sz w:val="22"/>
          <w:szCs w:val="22"/>
          <w:lang w:val="lt-LT"/>
        </w:rPr>
        <w:t xml:space="preserve">AB </w:t>
      </w:r>
      <w:r w:rsidR="00DB1C7A" w:rsidRPr="002C1A71">
        <w:rPr>
          <w:rFonts w:ascii="Arial" w:hAnsi="Arial" w:cs="Arial"/>
          <w:b/>
          <w:bCs/>
          <w:sz w:val="22"/>
          <w:szCs w:val="22"/>
          <w:lang w:val="lt-LT"/>
        </w:rPr>
        <w:t>„</w:t>
      </w:r>
      <w:r w:rsidR="00B42381">
        <w:rPr>
          <w:rFonts w:ascii="Arial" w:hAnsi="Arial" w:cs="Arial"/>
          <w:b/>
          <w:bCs/>
          <w:sz w:val="22"/>
          <w:szCs w:val="22"/>
          <w:lang w:val="lt-LT"/>
        </w:rPr>
        <w:t>.................</w:t>
      </w:r>
      <w:r w:rsidR="000047BC" w:rsidRPr="002C1A71">
        <w:rPr>
          <w:rFonts w:ascii="Arial" w:hAnsi="Arial" w:cs="Arial"/>
          <w:sz w:val="22"/>
          <w:szCs w:val="22"/>
          <w:lang w:val="lt-LT"/>
        </w:rPr>
        <w:t xml:space="preserve">“, pagal Lietuvos įstatymus įsteigta ir veikianti įmonė, juridinio asmens kodas </w:t>
      </w:r>
      <w:r w:rsidR="00B42381">
        <w:rPr>
          <w:rFonts w:ascii="Arial" w:hAnsi="Arial" w:cs="Arial"/>
          <w:sz w:val="22"/>
          <w:szCs w:val="22"/>
          <w:lang w:val="lt-LT"/>
        </w:rPr>
        <w:t>.............</w:t>
      </w:r>
      <w:r w:rsidR="000047BC" w:rsidRPr="002C1A71">
        <w:rPr>
          <w:rFonts w:ascii="Arial" w:hAnsi="Arial" w:cs="Arial"/>
          <w:sz w:val="22"/>
          <w:szCs w:val="22"/>
          <w:lang w:val="lt-LT"/>
        </w:rPr>
        <w:t xml:space="preserve">, kurios registruota buveinė yra Geležinkelio g. 12, Vilnius, duomenys apie bendrovę kaupiami ir saugomi Lietuvos Respublikos juridinių asmenų registre, atstovaujama </w:t>
      </w:r>
      <w:r w:rsidR="00B42381">
        <w:rPr>
          <w:rFonts w:ascii="Arial" w:hAnsi="Arial" w:cs="Arial"/>
          <w:sz w:val="22"/>
          <w:szCs w:val="22"/>
          <w:lang w:val="lt-LT"/>
        </w:rPr>
        <w:t>..........</w:t>
      </w:r>
      <w:r w:rsidR="000047BC" w:rsidRPr="002C1A71">
        <w:rPr>
          <w:rFonts w:ascii="Arial" w:hAnsi="Arial" w:cs="Arial"/>
          <w:sz w:val="22"/>
          <w:szCs w:val="22"/>
          <w:lang w:val="lt-LT"/>
        </w:rPr>
        <w:t xml:space="preserve">, veikiančio pagal </w:t>
      </w:r>
      <w:r w:rsidR="00B42381">
        <w:rPr>
          <w:rFonts w:ascii="Arial" w:hAnsi="Arial" w:cs="Arial"/>
          <w:sz w:val="22"/>
          <w:szCs w:val="22"/>
          <w:lang w:val="lt-LT"/>
        </w:rPr>
        <w:t>............</w:t>
      </w:r>
      <w:r w:rsidR="000047BC" w:rsidRPr="002C1A71">
        <w:rPr>
          <w:rFonts w:ascii="Arial" w:hAnsi="Arial" w:cs="Arial"/>
          <w:sz w:val="22"/>
          <w:szCs w:val="22"/>
          <w:lang w:val="lt-LT"/>
        </w:rPr>
        <w:t xml:space="preserve"> (toliau – </w:t>
      </w:r>
      <w:r w:rsidR="000047BC" w:rsidRPr="002C1A71">
        <w:rPr>
          <w:rFonts w:ascii="Arial" w:hAnsi="Arial" w:cs="Arial"/>
          <w:b/>
          <w:sz w:val="22"/>
          <w:szCs w:val="22"/>
          <w:lang w:val="lt-LT"/>
        </w:rPr>
        <w:t>Pardavėjas</w:t>
      </w:r>
      <w:r w:rsidR="00C36714" w:rsidRPr="002C1A71">
        <w:rPr>
          <w:rFonts w:ascii="Arial" w:hAnsi="Arial" w:cs="Arial"/>
          <w:sz w:val="22"/>
          <w:szCs w:val="22"/>
          <w:lang w:val="lt-LT"/>
        </w:rPr>
        <w:t xml:space="preserve">), </w:t>
      </w:r>
      <w:bookmarkStart w:id="0" w:name="_Hlk132356917"/>
      <w:r w:rsidR="00C36714" w:rsidRPr="002C1A71">
        <w:rPr>
          <w:rFonts w:ascii="Arial" w:hAnsi="Arial" w:cs="Arial"/>
          <w:sz w:val="22"/>
          <w:szCs w:val="22"/>
          <w:lang w:val="lt-LT"/>
        </w:rPr>
        <w:t xml:space="preserve">ir </w:t>
      </w:r>
      <w:bookmarkStart w:id="1" w:name="_Hlk132808288"/>
      <w:bookmarkEnd w:id="0"/>
      <w:r w:rsidR="00B42381">
        <w:rPr>
          <w:rFonts w:ascii="Arial" w:hAnsi="Arial" w:cs="Arial"/>
          <w:b/>
          <w:bCs/>
          <w:sz w:val="22"/>
          <w:szCs w:val="22"/>
          <w:lang w:val="lt-LT"/>
        </w:rPr>
        <w:t>............</w:t>
      </w:r>
      <w:r w:rsidR="00B61794" w:rsidRPr="002C1A71">
        <w:rPr>
          <w:rFonts w:ascii="Arial" w:hAnsi="Arial" w:cs="Arial"/>
          <w:sz w:val="22"/>
          <w:szCs w:val="22"/>
          <w:lang w:val="lt-LT"/>
        </w:rPr>
        <w:t xml:space="preserve">, juridinio asmens kodas </w:t>
      </w:r>
      <w:r w:rsidR="00B42381">
        <w:rPr>
          <w:rFonts w:ascii="Arial" w:hAnsi="Arial" w:cs="Arial"/>
          <w:sz w:val="22"/>
          <w:szCs w:val="22"/>
          <w:lang w:val="lt-LT"/>
        </w:rPr>
        <w:t>............</w:t>
      </w:r>
      <w:r w:rsidR="00B61794" w:rsidRPr="002C1A71">
        <w:rPr>
          <w:rFonts w:ascii="Arial" w:hAnsi="Arial" w:cs="Arial"/>
          <w:sz w:val="22"/>
          <w:szCs w:val="22"/>
          <w:lang w:val="lt-LT"/>
        </w:rPr>
        <w:t xml:space="preserve">, </w:t>
      </w:r>
      <w:bookmarkEnd w:id="1"/>
      <w:r w:rsidR="00B61794" w:rsidRPr="002C1A71">
        <w:rPr>
          <w:rFonts w:ascii="Arial" w:hAnsi="Arial" w:cs="Arial"/>
          <w:sz w:val="22"/>
          <w:szCs w:val="22"/>
          <w:lang w:val="lt-LT"/>
        </w:rPr>
        <w:t xml:space="preserve">(toliau – </w:t>
      </w:r>
      <w:r w:rsidR="00B61794" w:rsidRPr="002C1A71">
        <w:rPr>
          <w:rFonts w:ascii="Arial" w:hAnsi="Arial" w:cs="Arial"/>
          <w:b/>
          <w:sz w:val="22"/>
          <w:szCs w:val="22"/>
          <w:lang w:val="lt-LT"/>
        </w:rPr>
        <w:t>Pirkėjas</w:t>
      </w:r>
      <w:r w:rsidR="00B61794" w:rsidRPr="002C1A71">
        <w:rPr>
          <w:rFonts w:ascii="Arial" w:hAnsi="Arial" w:cs="Arial"/>
          <w:sz w:val="22"/>
          <w:szCs w:val="22"/>
          <w:lang w:val="lt-LT"/>
        </w:rPr>
        <w:t xml:space="preserve">) (toliau Pardavėjas ir Pirkėjas atskirai vadinami </w:t>
      </w:r>
      <w:r w:rsidR="00B61794" w:rsidRPr="002C1A71">
        <w:rPr>
          <w:rFonts w:ascii="Arial" w:hAnsi="Arial" w:cs="Arial"/>
          <w:b/>
          <w:sz w:val="22"/>
          <w:szCs w:val="22"/>
          <w:lang w:val="lt-LT"/>
        </w:rPr>
        <w:t>Šalimi</w:t>
      </w:r>
      <w:r w:rsidR="00B61794" w:rsidRPr="002C1A71">
        <w:rPr>
          <w:rFonts w:ascii="Arial" w:hAnsi="Arial" w:cs="Arial"/>
          <w:sz w:val="22"/>
          <w:szCs w:val="22"/>
          <w:lang w:val="lt-LT"/>
        </w:rPr>
        <w:t>, o abu kartu –</w:t>
      </w:r>
      <w:r w:rsidR="00B61794" w:rsidRPr="002C1A71">
        <w:rPr>
          <w:rFonts w:ascii="Arial" w:hAnsi="Arial" w:cs="Arial"/>
          <w:b/>
          <w:sz w:val="22"/>
          <w:szCs w:val="22"/>
          <w:lang w:val="lt-LT"/>
        </w:rPr>
        <w:t xml:space="preserve"> Šalimis</w:t>
      </w:r>
      <w:r w:rsidR="00B61794" w:rsidRPr="002C1A71">
        <w:rPr>
          <w:rFonts w:ascii="Arial" w:hAnsi="Arial" w:cs="Arial"/>
          <w:sz w:val="22"/>
          <w:szCs w:val="22"/>
          <w:lang w:val="lt-LT"/>
        </w:rPr>
        <w:t xml:space="preserve">), sudarė šią metalų laužo pirkimo-pardavimo sutartį (toliau – </w:t>
      </w:r>
      <w:r w:rsidR="00B61794" w:rsidRPr="002C1A71">
        <w:rPr>
          <w:rFonts w:ascii="Arial" w:hAnsi="Arial" w:cs="Arial"/>
          <w:b/>
          <w:sz w:val="22"/>
          <w:szCs w:val="22"/>
          <w:lang w:val="lt-LT"/>
        </w:rPr>
        <w:t>Sutartis</w:t>
      </w:r>
      <w:r w:rsidR="00B61794" w:rsidRPr="002C1A71">
        <w:rPr>
          <w:rFonts w:ascii="Arial" w:hAnsi="Arial" w:cs="Arial"/>
          <w:sz w:val="22"/>
          <w:szCs w:val="22"/>
          <w:lang w:val="lt-LT"/>
        </w:rPr>
        <w:t>) ir susitarė dėl šių Sutarties sąlygų:</w:t>
      </w:r>
    </w:p>
    <w:p w14:paraId="37EF070A" w14:textId="77777777" w:rsidR="00EA1B4D" w:rsidRPr="002C1A71"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 xml:space="preserve">I. SUTARTIES DALYKAS </w:t>
      </w:r>
    </w:p>
    <w:p w14:paraId="1AB869C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Šios Sutarties dalykas – </w:t>
      </w:r>
      <w:r w:rsidR="009109CE" w:rsidRPr="002C1A71">
        <w:rPr>
          <w:rFonts w:ascii="Arial" w:hAnsi="Arial" w:cs="Arial"/>
          <w:sz w:val="22"/>
          <w:szCs w:val="22"/>
          <w:lang w:val="lt-LT"/>
        </w:rPr>
        <w:t>juodųjų</w:t>
      </w:r>
      <w:r w:rsidRPr="002C1A71">
        <w:rPr>
          <w:rFonts w:ascii="Arial" w:hAnsi="Arial" w:cs="Arial"/>
          <w:sz w:val="22"/>
          <w:szCs w:val="22"/>
          <w:lang w:val="lt-LT"/>
        </w:rPr>
        <w:t xml:space="preserve"> metalų laužo, nurodyto 4 punkte pateiktoje lentelėje (toliau</w:t>
      </w:r>
      <w:r w:rsidR="00D274B1" w:rsidRPr="002C1A71">
        <w:rPr>
          <w:rFonts w:ascii="Arial" w:hAnsi="Arial" w:cs="Arial"/>
          <w:sz w:val="22"/>
          <w:szCs w:val="22"/>
          <w:lang w:val="lt-LT"/>
        </w:rPr>
        <w:t> –</w:t>
      </w:r>
      <w:r w:rsidRPr="002C1A71">
        <w:rPr>
          <w:rFonts w:ascii="Arial" w:hAnsi="Arial" w:cs="Arial"/>
          <w:sz w:val="22"/>
          <w:szCs w:val="22"/>
          <w:lang w:val="lt-LT"/>
        </w:rPr>
        <w:t xml:space="preserve"> </w:t>
      </w:r>
      <w:r w:rsidRPr="002C1A71">
        <w:rPr>
          <w:rFonts w:ascii="Arial" w:hAnsi="Arial" w:cs="Arial"/>
          <w:b/>
          <w:sz w:val="22"/>
          <w:szCs w:val="22"/>
          <w:lang w:val="lt-LT"/>
        </w:rPr>
        <w:t>Laužas</w:t>
      </w:r>
      <w:r w:rsidRPr="002C1A71">
        <w:rPr>
          <w:rFonts w:ascii="Arial" w:hAnsi="Arial" w:cs="Arial"/>
          <w:sz w:val="22"/>
          <w:szCs w:val="22"/>
          <w:lang w:val="lt-LT"/>
        </w:rPr>
        <w:t>)</w:t>
      </w:r>
      <w:r w:rsidR="00BB05CA" w:rsidRPr="002C1A71">
        <w:rPr>
          <w:rFonts w:ascii="Arial" w:hAnsi="Arial" w:cs="Arial"/>
          <w:sz w:val="22"/>
          <w:szCs w:val="22"/>
          <w:lang w:val="lt-LT"/>
        </w:rPr>
        <w:t>,</w:t>
      </w:r>
      <w:r w:rsidRPr="002C1A71">
        <w:rPr>
          <w:rFonts w:ascii="Arial" w:hAnsi="Arial" w:cs="Arial"/>
          <w:sz w:val="22"/>
          <w:szCs w:val="22"/>
          <w:lang w:val="lt-LT"/>
        </w:rPr>
        <w:t xml:space="preserve"> pirkimas-pardavimas.</w:t>
      </w:r>
    </w:p>
    <w:p w14:paraId="2FBFBCDC" w14:textId="77777777" w:rsidR="007940B2" w:rsidRPr="002C1A71" w:rsidRDefault="007940B2" w:rsidP="009F498C">
      <w:pPr>
        <w:spacing w:line="276" w:lineRule="auto"/>
        <w:ind w:right="-27" w:firstLine="450"/>
        <w:rPr>
          <w:rFonts w:ascii="Arial" w:hAnsi="Arial" w:cs="Arial"/>
          <w:sz w:val="22"/>
          <w:szCs w:val="22"/>
          <w:lang w:val="lt-LT"/>
        </w:rPr>
      </w:pPr>
    </w:p>
    <w:p w14:paraId="69BD0029"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II. ŠALIŲ ĮSIPAREIGOJIMAI</w:t>
      </w:r>
    </w:p>
    <w:p w14:paraId="12BC2699"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Pardavėjas įsipareigoja parduoti, o Pirkėjas įsipareigoja nupirkti </w:t>
      </w:r>
      <w:r w:rsidR="00565253" w:rsidRPr="002C1A71">
        <w:rPr>
          <w:rFonts w:ascii="Arial" w:hAnsi="Arial" w:cs="Arial"/>
          <w:sz w:val="22"/>
          <w:szCs w:val="22"/>
          <w:lang w:val="lt-LT"/>
        </w:rPr>
        <w:t xml:space="preserve">visą Sutarties priede Nr. 1 nurodytą bendrą Laužo kiekį </w:t>
      </w:r>
      <w:r w:rsidRPr="002C1A71">
        <w:rPr>
          <w:rFonts w:ascii="Arial" w:hAnsi="Arial" w:cs="Arial"/>
          <w:sz w:val="22"/>
          <w:szCs w:val="22"/>
          <w:lang w:val="lt-LT"/>
        </w:rPr>
        <w:t>pagal 4 punkte esančioje lentelėje išvardintas rūšis ir kainas</w:t>
      </w:r>
      <w:r w:rsidR="00DF5CFF" w:rsidRPr="002C1A71">
        <w:rPr>
          <w:rFonts w:ascii="Arial" w:hAnsi="Arial" w:cs="Arial"/>
          <w:sz w:val="22"/>
          <w:szCs w:val="22"/>
          <w:lang w:val="lt-LT"/>
        </w:rPr>
        <w:t>.</w:t>
      </w:r>
      <w:r w:rsidR="00565253" w:rsidRPr="002C1A71">
        <w:rPr>
          <w:rFonts w:ascii="Arial" w:hAnsi="Arial" w:cs="Arial"/>
          <w:sz w:val="22"/>
          <w:szCs w:val="22"/>
          <w:lang w:val="lt-LT"/>
        </w:rPr>
        <w:t xml:space="preserve"> Sutarties priede Nr. 1 nurodytą Laužo kiekį, priklausomai nuo poreikio, Pardavėjas pasilieka teisę keisti iki </w:t>
      </w:r>
      <w:r w:rsidR="008962AD" w:rsidRPr="002C1A71">
        <w:rPr>
          <w:rFonts w:ascii="Arial" w:hAnsi="Arial" w:cs="Arial"/>
          <w:sz w:val="22"/>
          <w:szCs w:val="22"/>
          <w:lang w:val="lt-LT"/>
        </w:rPr>
        <w:t xml:space="preserve">20 </w:t>
      </w:r>
      <w:r w:rsidR="00565253" w:rsidRPr="002C1A71">
        <w:rPr>
          <w:rFonts w:ascii="Arial" w:hAnsi="Arial" w:cs="Arial"/>
          <w:sz w:val="22"/>
          <w:szCs w:val="22"/>
          <w:lang w:val="lt-LT"/>
        </w:rPr>
        <w:t xml:space="preserve">proc. </w:t>
      </w:r>
    </w:p>
    <w:p w14:paraId="57217F2B" w14:textId="77777777" w:rsidR="00D274B1" w:rsidRPr="002C1A71"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2C1A71" w:rsidRDefault="007940B2" w:rsidP="009F498C">
      <w:pPr>
        <w:pStyle w:val="Heading8"/>
        <w:spacing w:before="0" w:after="120" w:line="276" w:lineRule="auto"/>
        <w:ind w:right="-28" w:firstLine="482"/>
        <w:rPr>
          <w:rFonts w:ascii="Arial" w:hAnsi="Arial" w:cs="Arial"/>
          <w:color w:val="auto"/>
          <w:spacing w:val="0"/>
          <w:sz w:val="22"/>
          <w:szCs w:val="22"/>
        </w:rPr>
      </w:pPr>
      <w:r w:rsidRPr="002C1A71">
        <w:rPr>
          <w:rFonts w:ascii="Arial" w:hAnsi="Arial" w:cs="Arial"/>
          <w:color w:val="auto"/>
          <w:spacing w:val="0"/>
          <w:sz w:val="22"/>
          <w:szCs w:val="22"/>
        </w:rPr>
        <w:t>III. KAINA</w:t>
      </w:r>
    </w:p>
    <w:p w14:paraId="3266C125" w14:textId="77777777" w:rsidR="00D274B1" w:rsidRPr="002C1A71"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2C1A71">
        <w:rPr>
          <w:rFonts w:ascii="Arial" w:hAnsi="Arial" w:cs="Arial"/>
          <w:sz w:val="22"/>
          <w:szCs w:val="22"/>
          <w:lang w:val="lt-LT"/>
        </w:rPr>
        <w:t>Laužo 1 (vienos) tonos kaina nurodyta žemiau pateiktoje lentelėje</w:t>
      </w:r>
      <w:r w:rsidR="00FB66E8" w:rsidRPr="002C1A71">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2C1A71" w14:paraId="6BCCD54F" w14:textId="77777777" w:rsidTr="0001594B">
        <w:trPr>
          <w:trHeight w:val="598"/>
        </w:trPr>
        <w:tc>
          <w:tcPr>
            <w:tcW w:w="3313" w:type="dxa"/>
            <w:tcBorders>
              <w:left w:val="single" w:sz="4" w:space="0" w:color="auto"/>
            </w:tcBorders>
            <w:vAlign w:val="center"/>
          </w:tcPr>
          <w:p w14:paraId="2B0C7A7D" w14:textId="77777777" w:rsidR="00DB1C7A" w:rsidRPr="002C1A71" w:rsidRDefault="00DB1C7A" w:rsidP="009F498C">
            <w:pPr>
              <w:spacing w:line="276" w:lineRule="auto"/>
              <w:ind w:left="-360" w:right="203" w:firstLine="720"/>
              <w:jc w:val="center"/>
              <w:rPr>
                <w:rFonts w:ascii="Arial" w:hAnsi="Arial" w:cs="Arial"/>
                <w:sz w:val="22"/>
                <w:szCs w:val="22"/>
                <w:lang w:val="lt-LT"/>
              </w:rPr>
            </w:pPr>
            <w:r w:rsidRPr="002C1A71">
              <w:rPr>
                <w:rFonts w:ascii="Arial" w:hAnsi="Arial" w:cs="Arial"/>
                <w:sz w:val="22"/>
                <w:szCs w:val="22"/>
                <w:lang w:val="lt-LT"/>
              </w:rPr>
              <w:t>Laužo pavadinimas</w:t>
            </w:r>
          </w:p>
        </w:tc>
        <w:tc>
          <w:tcPr>
            <w:tcW w:w="2366" w:type="dxa"/>
            <w:vAlign w:val="center"/>
          </w:tcPr>
          <w:p w14:paraId="2DF2FAC7" w14:textId="77777777" w:rsidR="00DB1C7A" w:rsidRPr="002C1A71" w:rsidRDefault="00DB1C7A" w:rsidP="009F498C">
            <w:pPr>
              <w:spacing w:line="276" w:lineRule="auto"/>
              <w:ind w:lef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5D8B71EB" w14:textId="77777777" w:rsidR="00DB1C7A" w:rsidRPr="002C1A71" w:rsidRDefault="00DB1C7A" w:rsidP="009F498C">
            <w:pPr>
              <w:spacing w:line="276" w:lineRule="auto"/>
              <w:ind w:left="-108" w:firstLine="211"/>
              <w:jc w:val="center"/>
              <w:rPr>
                <w:rFonts w:ascii="Arial" w:hAnsi="Arial" w:cs="Arial"/>
                <w:sz w:val="22"/>
                <w:szCs w:val="22"/>
                <w:lang w:val="lt-LT"/>
              </w:rPr>
            </w:pPr>
            <w:r w:rsidRPr="002C1A71">
              <w:rPr>
                <w:rFonts w:ascii="Arial" w:hAnsi="Arial" w:cs="Arial"/>
                <w:sz w:val="22"/>
                <w:szCs w:val="22"/>
                <w:lang w:val="lt-LT"/>
              </w:rPr>
              <w:t>EUR (be PVM)</w:t>
            </w:r>
          </w:p>
        </w:tc>
        <w:tc>
          <w:tcPr>
            <w:tcW w:w="1735" w:type="dxa"/>
            <w:vAlign w:val="center"/>
          </w:tcPr>
          <w:p w14:paraId="499E251A" w14:textId="77777777" w:rsidR="00DB1C7A" w:rsidRPr="002C1A71" w:rsidRDefault="00DB1C7A" w:rsidP="009F498C">
            <w:pPr>
              <w:spacing w:line="276" w:lineRule="auto"/>
              <w:jc w:val="center"/>
              <w:rPr>
                <w:rFonts w:ascii="Arial" w:hAnsi="Arial" w:cs="Arial"/>
                <w:sz w:val="22"/>
                <w:szCs w:val="22"/>
                <w:lang w:val="lt-LT"/>
              </w:rPr>
            </w:pPr>
            <w:r w:rsidRPr="002C1A71">
              <w:rPr>
                <w:rFonts w:ascii="Arial" w:hAnsi="Arial" w:cs="Arial"/>
                <w:sz w:val="22"/>
                <w:szCs w:val="22"/>
                <w:lang w:val="lt-LT"/>
              </w:rPr>
              <w:t>PVM, EUR</w:t>
            </w:r>
          </w:p>
        </w:tc>
        <w:tc>
          <w:tcPr>
            <w:tcW w:w="2553" w:type="dxa"/>
            <w:vAlign w:val="center"/>
          </w:tcPr>
          <w:p w14:paraId="53024364"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18E03137"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EUR (su PVM)</w:t>
            </w:r>
          </w:p>
        </w:tc>
      </w:tr>
      <w:tr w:rsidR="00DB1C7A" w:rsidRPr="002C1A71" w14:paraId="66B37826" w14:textId="77777777" w:rsidTr="0001594B">
        <w:trPr>
          <w:trHeight w:val="625"/>
        </w:trPr>
        <w:tc>
          <w:tcPr>
            <w:tcW w:w="3313" w:type="dxa"/>
            <w:tcBorders>
              <w:left w:val="single" w:sz="4" w:space="0" w:color="auto"/>
            </w:tcBorders>
            <w:vAlign w:val="center"/>
          </w:tcPr>
          <w:p w14:paraId="2C2018BC" w14:textId="74B8E9DA" w:rsidR="00DB1C7A" w:rsidRPr="002C1A71" w:rsidRDefault="00B42381" w:rsidP="00D9412C">
            <w:pPr>
              <w:spacing w:line="276" w:lineRule="auto"/>
              <w:jc w:val="center"/>
              <w:rPr>
                <w:rFonts w:ascii="Arial" w:hAnsi="Arial" w:cs="Arial"/>
                <w:spacing w:val="-8"/>
                <w:sz w:val="22"/>
                <w:szCs w:val="22"/>
                <w:lang w:val="lt-LT"/>
              </w:rPr>
            </w:pPr>
            <w:r>
              <w:rPr>
                <w:rFonts w:ascii="Arial" w:hAnsi="Arial" w:cs="Arial"/>
                <w:spacing w:val="-8"/>
                <w:sz w:val="22"/>
                <w:szCs w:val="22"/>
                <w:lang w:val="lt-LT"/>
              </w:rPr>
              <w:t>....................</w:t>
            </w:r>
          </w:p>
        </w:tc>
        <w:tc>
          <w:tcPr>
            <w:tcW w:w="2366" w:type="dxa"/>
            <w:vAlign w:val="center"/>
          </w:tcPr>
          <w:p w14:paraId="4A55C999" w14:textId="4EC86618" w:rsidR="00DB1C7A" w:rsidRPr="002C1A71" w:rsidRDefault="00DB1C7A" w:rsidP="00D9412C">
            <w:pPr>
              <w:tabs>
                <w:tab w:val="left" w:pos="0"/>
                <w:tab w:val="num" w:pos="720"/>
                <w:tab w:val="left" w:pos="5103"/>
              </w:tabs>
              <w:spacing w:line="276" w:lineRule="auto"/>
              <w:ind w:right="203"/>
              <w:jc w:val="center"/>
              <w:rPr>
                <w:rFonts w:ascii="Arial" w:hAnsi="Arial" w:cs="Arial"/>
                <w:b/>
                <w:bCs/>
                <w:sz w:val="22"/>
                <w:szCs w:val="22"/>
                <w:lang w:val="lt-LT"/>
              </w:rPr>
            </w:pPr>
          </w:p>
        </w:tc>
        <w:tc>
          <w:tcPr>
            <w:tcW w:w="1735" w:type="dxa"/>
            <w:vAlign w:val="center"/>
          </w:tcPr>
          <w:p w14:paraId="5823E0A7" w14:textId="79018B6B" w:rsidR="00D25297" w:rsidRPr="002C1A71" w:rsidRDefault="00D25297" w:rsidP="00D25297">
            <w:pPr>
              <w:spacing w:line="276" w:lineRule="auto"/>
              <w:jc w:val="center"/>
              <w:rPr>
                <w:rFonts w:ascii="Arial" w:hAnsi="Arial" w:cs="Arial"/>
                <w:b/>
                <w:bCs/>
                <w:sz w:val="22"/>
                <w:szCs w:val="22"/>
                <w:lang w:val="lt-LT"/>
              </w:rPr>
            </w:pPr>
          </w:p>
        </w:tc>
        <w:tc>
          <w:tcPr>
            <w:tcW w:w="2553" w:type="dxa"/>
            <w:vAlign w:val="center"/>
          </w:tcPr>
          <w:p w14:paraId="736E39FC" w14:textId="4B4E8CDE" w:rsidR="00DB1C7A" w:rsidRPr="002C1A71" w:rsidRDefault="00DB1C7A" w:rsidP="00D9412C">
            <w:pPr>
              <w:spacing w:line="276" w:lineRule="auto"/>
              <w:jc w:val="center"/>
              <w:rPr>
                <w:rFonts w:ascii="Arial" w:hAnsi="Arial" w:cs="Arial"/>
                <w:b/>
                <w:bCs/>
                <w:sz w:val="22"/>
                <w:szCs w:val="22"/>
                <w:lang w:val="lt-LT"/>
              </w:rPr>
            </w:pPr>
          </w:p>
        </w:tc>
      </w:tr>
    </w:tbl>
    <w:p w14:paraId="0E153089" w14:textId="77777777" w:rsidR="002A53DF" w:rsidRPr="002C1A71" w:rsidRDefault="002A53DF" w:rsidP="009F498C">
      <w:pPr>
        <w:spacing w:line="276" w:lineRule="auto"/>
        <w:rPr>
          <w:rFonts w:ascii="Arial" w:hAnsi="Arial" w:cs="Arial"/>
          <w:sz w:val="22"/>
          <w:szCs w:val="22"/>
          <w:lang w:val="lt-LT"/>
        </w:rPr>
      </w:pPr>
    </w:p>
    <w:p w14:paraId="5DF3AC5E" w14:textId="61829C27" w:rsidR="007940B2" w:rsidRPr="002C1A71"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Šios Sutarties 4 punkte nurodytos</w:t>
      </w:r>
      <w:r w:rsidR="00E60753" w:rsidRPr="002C1A71">
        <w:rPr>
          <w:rFonts w:ascii="Arial" w:hAnsi="Arial" w:cs="Arial"/>
          <w:sz w:val="22"/>
          <w:szCs w:val="22"/>
          <w:lang w:val="lt-LT"/>
        </w:rPr>
        <w:t xml:space="preserve"> </w:t>
      </w:r>
      <w:r w:rsidRPr="002C1A71">
        <w:rPr>
          <w:rFonts w:ascii="Arial" w:hAnsi="Arial" w:cs="Arial"/>
          <w:sz w:val="22"/>
          <w:szCs w:val="22"/>
          <w:lang w:val="lt-LT"/>
        </w:rPr>
        <w:t xml:space="preserve">Laužo (1 t) </w:t>
      </w:r>
      <w:r w:rsidR="007940B2" w:rsidRPr="002C1A71">
        <w:rPr>
          <w:rFonts w:ascii="Arial" w:hAnsi="Arial" w:cs="Arial"/>
          <w:sz w:val="22"/>
          <w:szCs w:val="22"/>
          <w:lang w:val="lt-LT"/>
        </w:rPr>
        <w:t>pardavimo kainos</w:t>
      </w:r>
      <w:r w:rsidRPr="002C1A71">
        <w:rPr>
          <w:rFonts w:ascii="Arial" w:hAnsi="Arial" w:cs="Arial"/>
          <w:sz w:val="22"/>
          <w:szCs w:val="22"/>
          <w:lang w:val="lt-LT"/>
        </w:rPr>
        <w:t xml:space="preserve"> (be PV</w:t>
      </w:r>
      <w:r w:rsidR="005524E7" w:rsidRPr="002C1A71">
        <w:rPr>
          <w:rFonts w:ascii="Arial" w:hAnsi="Arial" w:cs="Arial"/>
          <w:sz w:val="22"/>
          <w:szCs w:val="22"/>
          <w:lang w:val="lt-LT"/>
        </w:rPr>
        <w:t>M</w:t>
      </w:r>
      <w:r w:rsidRPr="002C1A71">
        <w:rPr>
          <w:rFonts w:ascii="Arial" w:hAnsi="Arial" w:cs="Arial"/>
          <w:sz w:val="22"/>
          <w:szCs w:val="22"/>
          <w:lang w:val="lt-LT"/>
        </w:rPr>
        <w:t>) nustat</w:t>
      </w:r>
      <w:r w:rsidR="00761D7F" w:rsidRPr="002C1A71">
        <w:rPr>
          <w:rFonts w:ascii="Arial" w:hAnsi="Arial" w:cs="Arial"/>
          <w:sz w:val="22"/>
          <w:szCs w:val="22"/>
          <w:lang w:val="lt-LT"/>
        </w:rPr>
        <w:t xml:space="preserve">ytos, vadovaujantis </w:t>
      </w:r>
      <w:r w:rsidR="007940B2" w:rsidRPr="002C1A71">
        <w:rPr>
          <w:rFonts w:ascii="Arial" w:hAnsi="Arial" w:cs="Arial"/>
          <w:sz w:val="22"/>
          <w:szCs w:val="22"/>
          <w:lang w:val="lt-LT"/>
        </w:rPr>
        <w:t>Pirkėjo</w:t>
      </w:r>
      <w:r w:rsidR="00761D7F" w:rsidRPr="002C1A71">
        <w:rPr>
          <w:rFonts w:ascii="Arial" w:hAnsi="Arial" w:cs="Arial"/>
          <w:sz w:val="22"/>
          <w:szCs w:val="22"/>
          <w:lang w:val="lt-LT"/>
        </w:rPr>
        <w:t xml:space="preserve"> pasiūlytomis </w:t>
      </w:r>
      <w:r w:rsidRPr="002C1A71">
        <w:rPr>
          <w:rFonts w:ascii="Arial" w:hAnsi="Arial" w:cs="Arial"/>
          <w:sz w:val="22"/>
          <w:szCs w:val="22"/>
          <w:lang w:val="lt-LT"/>
        </w:rPr>
        <w:t xml:space="preserve">kainomis </w:t>
      </w:r>
      <w:r w:rsidR="00761D7F" w:rsidRPr="002C1A71">
        <w:rPr>
          <w:rFonts w:ascii="Arial" w:hAnsi="Arial" w:cs="Arial"/>
          <w:sz w:val="22"/>
          <w:szCs w:val="22"/>
          <w:lang w:val="lt-LT"/>
        </w:rPr>
        <w:t xml:space="preserve">už parduodamą </w:t>
      </w:r>
      <w:r w:rsidR="00C77E25" w:rsidRPr="002C1A71">
        <w:rPr>
          <w:rFonts w:ascii="Arial" w:hAnsi="Arial" w:cs="Arial"/>
          <w:sz w:val="22"/>
          <w:szCs w:val="22"/>
          <w:lang w:val="lt-LT"/>
        </w:rPr>
        <w:t xml:space="preserve">Laužą </w:t>
      </w:r>
      <w:r w:rsidR="00F072EC" w:rsidRPr="002C1A71">
        <w:rPr>
          <w:rFonts w:ascii="Arial" w:hAnsi="Arial" w:cs="Arial"/>
          <w:b/>
          <w:bCs/>
          <w:sz w:val="22"/>
          <w:szCs w:val="22"/>
          <w:lang w:val="lt-LT"/>
        </w:rPr>
        <w:t>20</w:t>
      </w:r>
      <w:r w:rsidR="00DF68F3" w:rsidRPr="002C1A71">
        <w:rPr>
          <w:rFonts w:ascii="Arial" w:hAnsi="Arial" w:cs="Arial"/>
          <w:b/>
          <w:bCs/>
          <w:sz w:val="22"/>
          <w:szCs w:val="22"/>
          <w:lang w:val="lt-LT"/>
        </w:rPr>
        <w:t>2</w:t>
      </w:r>
      <w:r w:rsidR="00B263EE">
        <w:rPr>
          <w:rFonts w:ascii="Arial" w:hAnsi="Arial" w:cs="Arial"/>
          <w:b/>
          <w:bCs/>
          <w:sz w:val="22"/>
          <w:szCs w:val="22"/>
          <w:lang w:val="lt-LT"/>
        </w:rPr>
        <w:t>6</w:t>
      </w:r>
      <w:r w:rsidR="00733B22" w:rsidRPr="002C1A71">
        <w:rPr>
          <w:rFonts w:ascii="Arial" w:hAnsi="Arial" w:cs="Arial"/>
          <w:b/>
          <w:bCs/>
          <w:sz w:val="22"/>
          <w:szCs w:val="22"/>
          <w:lang w:val="lt-LT"/>
        </w:rPr>
        <w:t xml:space="preserve"> m. </w:t>
      </w:r>
      <w:r w:rsidR="00B42381">
        <w:rPr>
          <w:rFonts w:ascii="Arial" w:hAnsi="Arial" w:cs="Arial"/>
          <w:b/>
          <w:bCs/>
          <w:sz w:val="22"/>
          <w:szCs w:val="22"/>
          <w:lang w:val="lt-LT"/>
        </w:rPr>
        <w:t>..............</w:t>
      </w:r>
      <w:r w:rsidR="000B0DA2" w:rsidRPr="002C1A71">
        <w:rPr>
          <w:rFonts w:ascii="Arial" w:hAnsi="Arial" w:cs="Arial"/>
          <w:b/>
          <w:bCs/>
          <w:sz w:val="22"/>
          <w:szCs w:val="22"/>
          <w:lang w:val="lt-LT"/>
        </w:rPr>
        <w:t xml:space="preserve"> </w:t>
      </w:r>
      <w:r w:rsidR="004D37FC" w:rsidRPr="002C1A71">
        <w:rPr>
          <w:rFonts w:ascii="Arial" w:hAnsi="Arial" w:cs="Arial"/>
          <w:b/>
          <w:bCs/>
          <w:sz w:val="22"/>
          <w:szCs w:val="22"/>
          <w:lang w:val="lt-LT"/>
        </w:rPr>
        <w:t>d.</w:t>
      </w:r>
      <w:r w:rsidR="00C77E25" w:rsidRPr="002C1A71">
        <w:rPr>
          <w:rFonts w:ascii="Arial" w:hAnsi="Arial" w:cs="Arial"/>
          <w:b/>
          <w:bCs/>
          <w:sz w:val="22"/>
          <w:szCs w:val="22"/>
          <w:lang w:val="lt-LT"/>
        </w:rPr>
        <w:t xml:space="preserve"> </w:t>
      </w:r>
      <w:r w:rsidR="00C77E25" w:rsidRPr="002C1A71">
        <w:rPr>
          <w:rFonts w:ascii="Arial" w:hAnsi="Arial" w:cs="Arial"/>
          <w:sz w:val="22"/>
          <w:szCs w:val="22"/>
          <w:lang w:val="lt-LT"/>
        </w:rPr>
        <w:t>Viešajame metalų laužo aukcione Nr.</w:t>
      </w:r>
      <w:r w:rsidR="003C21A6" w:rsidRPr="002C1A71">
        <w:rPr>
          <w:rFonts w:ascii="Arial" w:hAnsi="Arial" w:cs="Arial"/>
          <w:sz w:val="22"/>
          <w:szCs w:val="22"/>
          <w:lang w:val="lt-LT"/>
        </w:rPr>
        <w:t xml:space="preserve"> </w:t>
      </w:r>
      <w:r w:rsidR="00B42381">
        <w:rPr>
          <w:rFonts w:ascii="Arial" w:hAnsi="Arial" w:cs="Arial"/>
          <w:b/>
          <w:bCs/>
          <w:sz w:val="22"/>
          <w:szCs w:val="22"/>
          <w:lang w:val="lt-LT"/>
        </w:rPr>
        <w:t>...............</w:t>
      </w:r>
      <w:r w:rsidR="00F072EC" w:rsidRPr="002C1A71">
        <w:rPr>
          <w:rFonts w:ascii="Arial" w:hAnsi="Arial" w:cs="Arial"/>
          <w:b/>
          <w:bCs/>
          <w:sz w:val="22"/>
          <w:szCs w:val="22"/>
          <w:lang w:val="lt-LT"/>
        </w:rPr>
        <w:t xml:space="preserve"> </w:t>
      </w:r>
      <w:r w:rsidR="00C77E25" w:rsidRPr="002C1A71">
        <w:rPr>
          <w:rFonts w:ascii="Arial" w:hAnsi="Arial" w:cs="Arial"/>
          <w:sz w:val="22"/>
          <w:szCs w:val="22"/>
          <w:lang w:val="lt-LT"/>
        </w:rPr>
        <w:t xml:space="preserve">(toliau – </w:t>
      </w:r>
      <w:r w:rsidR="00C77E25" w:rsidRPr="002C1A71">
        <w:rPr>
          <w:rFonts w:ascii="Arial" w:hAnsi="Arial" w:cs="Arial"/>
          <w:b/>
          <w:sz w:val="22"/>
          <w:szCs w:val="22"/>
          <w:lang w:val="lt-LT"/>
        </w:rPr>
        <w:t>Aukcionas</w:t>
      </w:r>
      <w:r w:rsidR="00C77E25" w:rsidRPr="002C1A71">
        <w:rPr>
          <w:rFonts w:ascii="Arial" w:hAnsi="Arial" w:cs="Arial"/>
          <w:sz w:val="22"/>
          <w:szCs w:val="22"/>
          <w:lang w:val="lt-LT"/>
        </w:rPr>
        <w:t>). Metalų laužo kainos turi būti nurodytos įvertinant metalų laužo užterštumą nurodytą 22 punkte.</w:t>
      </w:r>
    </w:p>
    <w:p w14:paraId="68287F9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pats savo sąskaita vykdo visas mokesti</w:t>
      </w:r>
      <w:r w:rsidR="001456D1" w:rsidRPr="002C1A71">
        <w:rPr>
          <w:rFonts w:ascii="Arial" w:hAnsi="Arial" w:cs="Arial"/>
          <w:sz w:val="22"/>
          <w:szCs w:val="22"/>
          <w:lang w:val="lt-LT"/>
        </w:rPr>
        <w:t>n</w:t>
      </w:r>
      <w:r w:rsidRPr="002C1A71">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2C1A71">
        <w:rPr>
          <w:rFonts w:ascii="Arial" w:hAnsi="Arial" w:cs="Arial"/>
          <w:sz w:val="22"/>
          <w:szCs w:val="22"/>
          <w:lang w:val="lt-LT"/>
        </w:rPr>
        <w:t>i</w:t>
      </w:r>
      <w:r w:rsidR="003A62DF" w:rsidRPr="002C1A71">
        <w:rPr>
          <w:rFonts w:ascii="Arial" w:hAnsi="Arial" w:cs="Arial"/>
          <w:sz w:val="22"/>
          <w:szCs w:val="22"/>
          <w:lang w:val="lt-LT"/>
        </w:rPr>
        <w:t xml:space="preserve">r kitų teisės aktų </w:t>
      </w:r>
      <w:r w:rsidRPr="002C1A71">
        <w:rPr>
          <w:rFonts w:ascii="Arial" w:hAnsi="Arial" w:cs="Arial"/>
          <w:sz w:val="22"/>
          <w:szCs w:val="22"/>
          <w:lang w:val="lt-LT"/>
        </w:rPr>
        <w:t>nuostatas.</w:t>
      </w:r>
    </w:p>
    <w:p w14:paraId="74B4B8B2"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541E7EDF" w14:textId="77777777" w:rsidR="00FB66E8" w:rsidRPr="002C1A71"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2C1A71" w:rsidRDefault="007940B2" w:rsidP="009F498C">
      <w:pPr>
        <w:shd w:val="clear" w:color="auto" w:fill="FFFFFF"/>
        <w:spacing w:after="120" w:line="276" w:lineRule="auto"/>
        <w:ind w:left="51" w:right="-28"/>
        <w:jc w:val="center"/>
        <w:rPr>
          <w:rFonts w:ascii="Arial" w:hAnsi="Arial" w:cs="Arial"/>
          <w:b/>
          <w:sz w:val="22"/>
          <w:szCs w:val="22"/>
          <w:lang w:val="lt-LT"/>
        </w:rPr>
      </w:pPr>
      <w:r w:rsidRPr="002C1A71">
        <w:rPr>
          <w:rFonts w:ascii="Arial" w:hAnsi="Arial" w:cs="Arial"/>
          <w:b/>
          <w:sz w:val="22"/>
          <w:szCs w:val="22"/>
          <w:lang w:val="lt-LT"/>
        </w:rPr>
        <w:t xml:space="preserve">IV. MOKĖJIMO SĄLYGOS </w:t>
      </w:r>
    </w:p>
    <w:p w14:paraId="6B868DCB" w14:textId="475E6786" w:rsidR="009E2533" w:rsidRPr="002C1A71"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XV skyriuje. Jeigu per nurodytą terminą Pirkėjas neatlieka šio mokėjimo, nuo kitos dienos jam pradedami skaičiuoti 0,</w:t>
      </w:r>
      <w:r w:rsidR="00DB1C7A" w:rsidRPr="002C1A71">
        <w:rPr>
          <w:rFonts w:ascii="Arial" w:hAnsi="Arial" w:cs="Arial"/>
          <w:sz w:val="22"/>
          <w:szCs w:val="22"/>
          <w:lang w:val="lt-LT"/>
        </w:rPr>
        <w:t>05</w:t>
      </w:r>
      <w:r w:rsidRPr="002C1A71">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Jei Pirkėjo už parduodamo Laužo kiekį sumokėta suma yra mažesnė negu Pardavėjas patiekė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Jei Pirkėjo už Laužą sumokėta suma yra didesnė nei Pardavėjas pateikė jam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Pardavėjui nuo kitos dienos pradedami skaičiuoti 0,1 % dydžio delspinigiai nuo Pirkėjui negrąžinto sumos, įskaitant PVM, už kiekvieną uždelstą kalendorinę dieną, maksimalią delspinigių skaičiavimo ribą nustatant 20 % nuo Sutarties priede Nr. 1 nurodyto viso Laužo kiekio kainos, įskaitant PVM.</w:t>
      </w:r>
    </w:p>
    <w:p w14:paraId="3AC2CD41"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atlikęs mokėjimą, tą pačią dieną el. paštu Pardavėjui perduoda mokėjimo pavedimo kopiją.</w:t>
      </w:r>
    </w:p>
    <w:p w14:paraId="5E49025D" w14:textId="1DA56AFC" w:rsidR="009E2533" w:rsidRPr="002C1A71"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PVM sąskaitą-faktūrą per </w:t>
      </w:r>
      <w:r w:rsidR="00077E9F" w:rsidRPr="002C1A71">
        <w:rPr>
          <w:rFonts w:ascii="Arial" w:hAnsi="Arial" w:cs="Arial"/>
          <w:sz w:val="22"/>
          <w:szCs w:val="22"/>
          <w:lang w:val="lt-LT"/>
        </w:rPr>
        <w:t>15</w:t>
      </w:r>
      <w:r w:rsidRPr="002C1A71">
        <w:rPr>
          <w:rFonts w:ascii="Arial" w:hAnsi="Arial" w:cs="Arial"/>
          <w:sz w:val="22"/>
          <w:szCs w:val="22"/>
          <w:lang w:val="lt-LT"/>
        </w:rPr>
        <w:t xml:space="preserve"> (</w:t>
      </w:r>
      <w:r w:rsidR="00C66488" w:rsidRPr="002C1A71">
        <w:rPr>
          <w:rFonts w:ascii="Arial" w:hAnsi="Arial" w:cs="Arial"/>
          <w:sz w:val="22"/>
          <w:szCs w:val="22"/>
          <w:lang w:val="lt-LT"/>
        </w:rPr>
        <w:t>pen</w:t>
      </w:r>
      <w:r w:rsidR="00077E9F" w:rsidRPr="002C1A71">
        <w:rPr>
          <w:rFonts w:ascii="Arial" w:hAnsi="Arial" w:cs="Arial"/>
          <w:sz w:val="22"/>
          <w:szCs w:val="22"/>
          <w:lang w:val="lt-LT"/>
        </w:rPr>
        <w:t>kiolika</w:t>
      </w:r>
      <w:r w:rsidRPr="002C1A71">
        <w:rPr>
          <w:rFonts w:ascii="Arial" w:hAnsi="Arial" w:cs="Arial"/>
          <w:sz w:val="22"/>
          <w:szCs w:val="22"/>
          <w:lang w:val="lt-LT"/>
        </w:rPr>
        <w:t>) d</w:t>
      </w:r>
      <w:r w:rsidR="004E6B78" w:rsidRPr="002C1A71">
        <w:rPr>
          <w:rFonts w:ascii="Arial" w:hAnsi="Arial" w:cs="Arial"/>
          <w:sz w:val="22"/>
          <w:szCs w:val="22"/>
          <w:lang w:val="lt-LT"/>
        </w:rPr>
        <w:t>arbo dien</w:t>
      </w:r>
      <w:r w:rsidR="00077E9F" w:rsidRPr="002C1A71">
        <w:rPr>
          <w:rFonts w:ascii="Arial" w:hAnsi="Arial" w:cs="Arial"/>
          <w:sz w:val="22"/>
          <w:szCs w:val="22"/>
          <w:lang w:val="lt-LT"/>
        </w:rPr>
        <w:t>ų</w:t>
      </w:r>
      <w:r w:rsidRPr="002C1A71">
        <w:rPr>
          <w:rFonts w:ascii="Arial" w:hAnsi="Arial" w:cs="Arial"/>
          <w:sz w:val="22"/>
          <w:szCs w:val="22"/>
          <w:lang w:val="lt-LT"/>
        </w:rPr>
        <w:t xml:space="preserve"> išrašo Pardavėjas, atsižvelgiant į Laužo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kuriame (-</w:t>
      </w:r>
      <w:proofErr w:type="spellStart"/>
      <w:r w:rsidRPr="002C1A71">
        <w:rPr>
          <w:rFonts w:ascii="Arial" w:hAnsi="Arial" w:cs="Arial"/>
          <w:sz w:val="22"/>
          <w:szCs w:val="22"/>
          <w:lang w:val="lt-LT"/>
        </w:rPr>
        <w:t>iuose</w:t>
      </w:r>
      <w:proofErr w:type="spellEnd"/>
      <w:r w:rsidRPr="002C1A71">
        <w:rPr>
          <w:rFonts w:ascii="Arial" w:hAnsi="Arial" w:cs="Arial"/>
          <w:sz w:val="22"/>
          <w:szCs w:val="22"/>
          <w:lang w:val="lt-LT"/>
        </w:rPr>
        <w:t>) yra įvertintas viršnorminis laužo užterštumas, jei toks buvo nustatytas.</w:t>
      </w:r>
    </w:p>
    <w:p w14:paraId="31EC9C20" w14:textId="77777777" w:rsidR="009E2533" w:rsidRPr="002C1A71"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 LAUŽO PERDAVIMO - PRIĖMIMO TVARKA</w:t>
      </w:r>
    </w:p>
    <w:p w14:paraId="560647BF" w14:textId="448E4D3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parduoda Sutarties Priede Nr. 1 nurodytus Laužo kiekius ir pasilieka teisę pagal 3 punktą keisti parduodamo Laužo kiekius. </w:t>
      </w:r>
    </w:p>
    <w:p w14:paraId="22359179" w14:textId="1FB70AAB"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Apie poreikį dėl susikaupusio Laužo išvežimo Pardavėjas sutarties 15 skyriuje nurodytu el.</w:t>
      </w:r>
      <w:r w:rsidR="0009346A" w:rsidRPr="002C1A71">
        <w:rPr>
          <w:rFonts w:ascii="Arial" w:hAnsi="Arial" w:cs="Arial"/>
          <w:sz w:val="22"/>
          <w:szCs w:val="22"/>
          <w:lang w:val="lt-LT"/>
        </w:rPr>
        <w:t xml:space="preserve"> </w:t>
      </w:r>
      <w:r w:rsidRPr="002C1A71">
        <w:rPr>
          <w:rFonts w:ascii="Arial" w:hAnsi="Arial" w:cs="Arial"/>
          <w:sz w:val="22"/>
          <w:szCs w:val="22"/>
          <w:lang w:val="lt-LT"/>
        </w:rPr>
        <w:t>paštu bei telefonu privalo informuoti Pirkėją</w:t>
      </w:r>
      <w:r w:rsidR="000C1025" w:rsidRPr="002C1A71">
        <w:rPr>
          <w:rFonts w:ascii="Arial" w:hAnsi="Arial" w:cs="Arial"/>
          <w:sz w:val="22"/>
          <w:szCs w:val="22"/>
          <w:lang w:val="lt-LT"/>
        </w:rPr>
        <w:t xml:space="preserve"> apie galimybę atsiimti Laužą ne vėliau kaip</w:t>
      </w:r>
      <w:r w:rsidRPr="002C1A71">
        <w:rPr>
          <w:rFonts w:ascii="Arial" w:hAnsi="Arial" w:cs="Arial"/>
          <w:sz w:val="22"/>
          <w:szCs w:val="22"/>
          <w:lang w:val="lt-LT"/>
        </w:rPr>
        <w:t xml:space="preserve"> prieš 5 darbo dienas.</w:t>
      </w:r>
    </w:p>
    <w:p w14:paraId="4B0D5EC9" w14:textId="77777777" w:rsidR="008D6CA7" w:rsidRPr="002C1A71"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gavęs pranešimą pagal šios Sutarties 14 punktą,  įsipareigoja priimti Pardavėjo el. paštu išsiųstame pranešime nurodytą Laužo kiekį ne vėliau kaip per 10 darbo dienų nuo el. laiško išsiuntimo dienos, jeigu šalys nesutaria kitaip.</w:t>
      </w:r>
    </w:p>
    <w:p w14:paraId="49FB4008" w14:textId="4B2E5205"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Pardavėjas patiekia Laužą Pirkėjui tik gavęs iš Pirkėjo išankstinį apmokėjimą Sutarties 8 punkte nustatyta tvarka.</w:t>
      </w:r>
    </w:p>
    <w:p w14:paraId="46D43DFC" w14:textId="475A91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Laužui perduoti ir Laužo priėmimo-perdavimo aktus pasirašyti ir pateikti bei Sutarties 18, 23 punkte nurodytus veiksmus atlikti Pardavėjo įgaliotų asmenų kontaktiniai duomenys nurodyti sutarties priede Nr. 1. </w:t>
      </w:r>
      <w:r w:rsidRPr="002C1A71">
        <w:rPr>
          <w:rFonts w:ascii="Arial" w:hAnsi="Arial" w:cs="Arial"/>
          <w:iCs/>
          <w:sz w:val="22"/>
          <w:szCs w:val="22"/>
          <w:lang w:val="lt-LT"/>
        </w:rPr>
        <w:t xml:space="preserve">Apie įgalioto atsakingo asmens pasikeitimą Pardavėjas informuoja Pirkėją šios Sutarties XV skyriuje nurodytu Pirkėjo el. paštu, išsiųsdamas Pardavėjo vidine tvarka </w:t>
      </w:r>
      <w:r w:rsidRPr="002C1A71">
        <w:rPr>
          <w:rFonts w:ascii="Arial" w:hAnsi="Arial" w:cs="Arial"/>
          <w:sz w:val="22"/>
          <w:szCs w:val="22"/>
          <w:lang w:val="lt-LT"/>
        </w:rPr>
        <w:t>(per DVS)</w:t>
      </w:r>
      <w:r w:rsidRPr="002C1A71">
        <w:rPr>
          <w:rFonts w:ascii="Arial" w:hAnsi="Arial" w:cs="Arial"/>
          <w:iCs/>
          <w:sz w:val="22"/>
          <w:szCs w:val="22"/>
          <w:lang w:val="lt-LT"/>
        </w:rPr>
        <w:t xml:space="preserve"> užregistruotą el. laišką, kuriame nurodomi šios Sutarties rekvizitai bei vietoj kokio įgalioto atsakingo asmens skiriamas naujasis įgaliotas atsakingas asmuo, nurodant paskirtojo asmens pareigas, vardą, pavardę, kontaktinę informaciją. El. paštu Pirkėjui pateiktas užregistruotas el. laiškas prilyginamas Sutarties 1 priedo patikslinimui ir atskiras Sutarties pakeitimas ar atskiras įgaliojimų įforminimas dėl šios priežasties nėra / nebus atliekamas.</w:t>
      </w:r>
    </w:p>
    <w:p w14:paraId="788AC7DC" w14:textId="314480B8" w:rsidR="001D5FFC" w:rsidRPr="002C1A71"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2C1A71">
        <w:rPr>
          <w:rFonts w:ascii="Arial" w:hAnsi="Arial" w:cs="Arial"/>
          <w:iCs/>
          <w:sz w:val="22"/>
          <w:szCs w:val="22"/>
          <w:lang w:val="lt-LT"/>
        </w:rPr>
        <w:t>Pirkėjas, pareikalavus Pardavėjui, įsipareigoja</w:t>
      </w:r>
      <w:r w:rsidR="003C4212" w:rsidRPr="002C1A71">
        <w:rPr>
          <w:rFonts w:ascii="Arial" w:hAnsi="Arial" w:cs="Arial"/>
          <w:iCs/>
          <w:sz w:val="22"/>
          <w:szCs w:val="22"/>
          <w:lang w:val="lt-LT"/>
        </w:rPr>
        <w:t xml:space="preserve"> pristatyti Pardavėjo nurodytoje vietoje tinkamą  sandėliavimo priemonę ar kitas sandėliavimui skirtas talpas, kurioje galima būtų kaupti parduodamą Laužą iki šios Sutarties 14 p. nurodyto poreikio pateikimo Pirkėjui.</w:t>
      </w:r>
    </w:p>
    <w:p w14:paraId="575AC68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svėrimu susijusias išlaidas prisiima Pirkėjas.</w:t>
      </w:r>
    </w:p>
    <w:p w14:paraId="3FFB3B63"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pakrovimu susijusias išlaidas prisiima Pirkėjas.</w:t>
      </w:r>
    </w:p>
    <w:p w14:paraId="242213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Laužo nuosavybės teisė ir atsitiktinio žuvimo rizika pereina Pirkėjui nuo Laužo perdavimo-priėmimo akto pasirašymo momento.</w:t>
      </w:r>
    </w:p>
    <w:p w14:paraId="4A63C94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Parduodamo Laužo rūšis, masė, taros masė ir užterštumas nustatoma dalyvaujant abiejų Šalių įgaliotiems asmenims, autotransporto svėrimo ar kitomis Lietuvos Respublikos teisės aktų nustatyta tvarka patikrintomis svarstyklėmis, surašomas svėrimo aktas. </w:t>
      </w:r>
      <w:r w:rsidR="00453DF9" w:rsidRPr="002C1A71">
        <w:rPr>
          <w:rFonts w:ascii="Arial" w:hAnsi="Arial" w:cs="Arial"/>
          <w:sz w:val="22"/>
          <w:szCs w:val="22"/>
          <w:lang w:val="lt-LT"/>
        </w:rPr>
        <w:t>Svėrimas turi</w:t>
      </w:r>
      <w:r w:rsidR="00312964" w:rsidRPr="002C1A71">
        <w:rPr>
          <w:rFonts w:ascii="Arial" w:hAnsi="Arial" w:cs="Arial"/>
          <w:sz w:val="22"/>
          <w:szCs w:val="22"/>
          <w:lang w:val="lt-LT"/>
        </w:rPr>
        <w:t xml:space="preserve"> būti vykdomas ne toliau kaip 10</w:t>
      </w:r>
      <w:r w:rsidR="00453DF9" w:rsidRPr="002C1A71">
        <w:rPr>
          <w:rFonts w:ascii="Arial" w:hAnsi="Arial" w:cs="Arial"/>
          <w:sz w:val="22"/>
          <w:szCs w:val="22"/>
          <w:lang w:val="lt-LT"/>
        </w:rPr>
        <w:t xml:space="preserve">0 km nuo Laužo pakrovimo vietos. </w:t>
      </w:r>
      <w:r w:rsidRPr="002C1A71">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34D27DCC"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Pirkėjas įsipareigoja ne vėliau kaip per </w:t>
      </w:r>
      <w:r w:rsidR="00F12C14" w:rsidRPr="002C1A71">
        <w:rPr>
          <w:rFonts w:ascii="Arial" w:hAnsi="Arial" w:cs="Arial"/>
          <w:b/>
          <w:bCs/>
          <w:sz w:val="22"/>
          <w:szCs w:val="22"/>
          <w:lang w:val="lt-LT"/>
        </w:rPr>
        <w:t>90</w:t>
      </w:r>
      <w:r w:rsidRPr="002C1A71">
        <w:rPr>
          <w:rFonts w:ascii="Arial" w:hAnsi="Arial" w:cs="Arial"/>
          <w:sz w:val="22"/>
          <w:szCs w:val="22"/>
          <w:lang w:val="lt-LT"/>
        </w:rPr>
        <w:t xml:space="preserve"> dienų po sutarties pasirašymo savo sąskaita išvežti Laužą iš Sutarties priede Nr. 1 nurodytų vietų.</w:t>
      </w:r>
    </w:p>
    <w:p w14:paraId="60795839" w14:textId="77777777" w:rsidR="009E2533" w:rsidRPr="002C1A71"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2C1A71"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2C1A71">
        <w:rPr>
          <w:rFonts w:ascii="Arial" w:hAnsi="Arial" w:cs="Arial"/>
          <w:b/>
          <w:sz w:val="22"/>
          <w:szCs w:val="22"/>
          <w:lang w:val="lt-LT"/>
        </w:rPr>
        <w:t xml:space="preserve">VI. PREKIŲ KOKYBĖ </w:t>
      </w:r>
    </w:p>
    <w:p w14:paraId="1BACBC2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Jeigu Laužo užterštumas neviršija </w:t>
      </w:r>
      <w:r w:rsidR="00BC7B2F" w:rsidRPr="002C1A71">
        <w:rPr>
          <w:rFonts w:ascii="Arial" w:hAnsi="Arial" w:cs="Arial"/>
          <w:sz w:val="22"/>
          <w:szCs w:val="22"/>
          <w:lang w:val="lt-LT"/>
        </w:rPr>
        <w:t>5</w:t>
      </w:r>
      <w:r w:rsidRPr="002C1A71">
        <w:rPr>
          <w:rFonts w:ascii="Arial" w:hAnsi="Arial" w:cs="Arial"/>
          <w:sz w:val="22"/>
          <w:szCs w:val="22"/>
          <w:lang w:val="lt-LT"/>
        </w:rPr>
        <w:t xml:space="preserve"> %, laikoma, kad Laužas neužterštas. </w:t>
      </w:r>
    </w:p>
    <w:p w14:paraId="3CA9A4A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turi užtikrinti, kad Laužo užterštumas neviršytų </w:t>
      </w:r>
      <w:r w:rsidR="00BC7B2F" w:rsidRPr="002C1A71">
        <w:rPr>
          <w:rFonts w:ascii="Arial" w:hAnsi="Arial" w:cs="Arial"/>
          <w:sz w:val="22"/>
          <w:szCs w:val="22"/>
          <w:lang w:val="lt-LT"/>
        </w:rPr>
        <w:t>5</w:t>
      </w:r>
      <w:r w:rsidRPr="002C1A71">
        <w:rPr>
          <w:rFonts w:ascii="Arial" w:hAnsi="Arial" w:cs="Arial"/>
          <w:sz w:val="22"/>
          <w:szCs w:val="22"/>
          <w:lang w:val="lt-LT"/>
        </w:rPr>
        <w:t xml:space="preserve"> %.</w:t>
      </w:r>
    </w:p>
    <w:p w14:paraId="531EA2A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Pirkėjas, nustatęs, kad perduotas Laužas neatitinka 20 ir (ar) 22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22 punkte nustatytų reikalavimų, jų kilmė, užteršimo priežastys. PVM sąskaitoje-faktūroje Laužo faktinis kiekis nurodomas iš viso Laužo kiekio atėmus akte nurodytą viršnorminių teršalų kiekį, jei jis viršija 22 punkte nustatytą užterštumo normą. </w:t>
      </w:r>
    </w:p>
    <w:p w14:paraId="5953213C" w14:textId="77777777" w:rsidR="009E2533" w:rsidRPr="002C1A71" w:rsidRDefault="009E2533" w:rsidP="009F498C">
      <w:pPr>
        <w:spacing w:line="276" w:lineRule="auto"/>
        <w:ind w:right="-27" w:firstLine="539"/>
        <w:jc w:val="both"/>
        <w:rPr>
          <w:rFonts w:ascii="Arial" w:hAnsi="Arial" w:cs="Arial"/>
          <w:sz w:val="22"/>
          <w:szCs w:val="22"/>
          <w:lang w:val="lt-LT"/>
        </w:rPr>
      </w:pPr>
    </w:p>
    <w:p w14:paraId="652ECD97"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VIII.</w:t>
      </w:r>
      <w:r w:rsidRPr="002C1A71">
        <w:rPr>
          <w:rFonts w:ascii="Arial" w:hAnsi="Arial" w:cs="Arial"/>
          <w:sz w:val="22"/>
          <w:szCs w:val="22"/>
          <w:lang w:val="lt-LT"/>
        </w:rPr>
        <w:t xml:space="preserve"> </w:t>
      </w:r>
      <w:r w:rsidRPr="002C1A71">
        <w:rPr>
          <w:rFonts w:ascii="Arial" w:hAnsi="Arial" w:cs="Arial"/>
          <w:b/>
          <w:sz w:val="22"/>
          <w:szCs w:val="22"/>
          <w:lang w:val="lt-LT"/>
        </w:rPr>
        <w:t>SUTARTIES ĮVYKDYMO UŽTIKRINIMAS</w:t>
      </w:r>
    </w:p>
    <w:p w14:paraId="4F920F0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77777777" w:rsidR="009E2533" w:rsidRPr="002C1A71" w:rsidRDefault="009E2533" w:rsidP="009F498C">
      <w:pPr>
        <w:pStyle w:val="Heading7"/>
        <w:spacing w:before="0" w:after="120" w:line="276" w:lineRule="auto"/>
        <w:ind w:right="-28" w:firstLine="539"/>
        <w:rPr>
          <w:rFonts w:ascii="Arial" w:hAnsi="Arial" w:cs="Arial"/>
          <w:color w:val="auto"/>
          <w:spacing w:val="0"/>
        </w:rPr>
      </w:pPr>
      <w:r w:rsidRPr="002C1A71">
        <w:rPr>
          <w:rFonts w:ascii="Arial" w:hAnsi="Arial" w:cs="Arial"/>
          <w:color w:val="auto"/>
          <w:spacing w:val="0"/>
        </w:rPr>
        <w:t>IX. ŠALIŲ ATSAKOMYBĖ</w:t>
      </w:r>
    </w:p>
    <w:p w14:paraId="51EE6816" w14:textId="47FC0A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2B29C76E" w14:textId="61ECF4AC"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Jei Pirkėjas nevykdo sutarties 15 punkte nustatyto įsipareigojimo, už kiekvieną pradelstą dieną jis Pardavėjui moka 0,</w:t>
      </w:r>
      <w:r w:rsidR="00DB1C7A" w:rsidRPr="002C1A71">
        <w:rPr>
          <w:rFonts w:ascii="Arial" w:hAnsi="Arial" w:cs="Arial"/>
          <w:sz w:val="22"/>
          <w:szCs w:val="22"/>
          <w:lang w:val="lt-LT"/>
        </w:rPr>
        <w:t>05</w:t>
      </w:r>
      <w:r w:rsidR="003C4212" w:rsidRPr="002C1A71">
        <w:rPr>
          <w:rFonts w:ascii="Arial" w:hAnsi="Arial" w:cs="Arial"/>
          <w:sz w:val="22"/>
          <w:szCs w:val="22"/>
          <w:lang w:val="lt-LT"/>
        </w:rPr>
        <w:t xml:space="preserve"> </w:t>
      </w:r>
      <w:r w:rsidRPr="002C1A71">
        <w:rPr>
          <w:rFonts w:ascii="Arial" w:hAnsi="Arial" w:cs="Arial"/>
          <w:sz w:val="22"/>
          <w:szCs w:val="22"/>
          <w:lang w:val="lt-LT"/>
        </w:rPr>
        <w:t>% dydžio delspinigius skaičiuojamos nuo bendros sutarties sumos</w:t>
      </w:r>
      <w:r w:rsidR="001D5FFC" w:rsidRPr="002C1A71">
        <w:rPr>
          <w:rFonts w:ascii="Arial" w:hAnsi="Arial" w:cs="Arial"/>
          <w:sz w:val="22"/>
          <w:szCs w:val="22"/>
          <w:lang w:val="lt-LT"/>
        </w:rPr>
        <w:t>.</w:t>
      </w:r>
    </w:p>
    <w:p w14:paraId="421BF2B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453AAD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2C1A71" w:rsidRDefault="009E2533" w:rsidP="009F498C">
      <w:pPr>
        <w:spacing w:line="276" w:lineRule="auto"/>
        <w:ind w:right="-27" w:firstLine="540"/>
        <w:jc w:val="both"/>
        <w:rPr>
          <w:rFonts w:ascii="Arial" w:hAnsi="Arial" w:cs="Arial"/>
          <w:sz w:val="22"/>
          <w:szCs w:val="22"/>
          <w:lang w:val="lt-LT"/>
        </w:rPr>
      </w:pPr>
      <w:r w:rsidRPr="002C1A71">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2C1A71"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2C1A71">
        <w:rPr>
          <w:rFonts w:ascii="Arial" w:eastAsia="Arial" w:hAnsi="Arial" w:cs="Arial"/>
          <w:sz w:val="22"/>
          <w:szCs w:val="22"/>
          <w:lang w:val="lt"/>
        </w:rPr>
        <w:t xml:space="preserve"> Jungtinės Didžiosios Britanijos ir Šiaurės Airijos Karalystė (JK)</w:t>
      </w:r>
      <w:r w:rsidRPr="002C1A71">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2C1A71">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2C1A71">
        <w:rPr>
          <w:rFonts w:ascii="Arial" w:hAnsi="Arial" w:cs="Arial"/>
          <w:sz w:val="22"/>
          <w:szCs w:val="22"/>
          <w:lang w:val="lt-LT"/>
        </w:rPr>
        <w:t>2014 m. liepos 31 d. Tarybos reglamentas (ES) Nr. 833/2014 dėl ribojamųjų priemonių atsižvelgiant į Rusijos veiksmus, kuriais destabilizuojama padėtis Ukrainoje (su v</w:t>
      </w:r>
      <w:r w:rsidRPr="002C1A71">
        <w:rPr>
          <w:rFonts w:ascii="Arial" w:eastAsia="Arial" w:hAnsi="Arial" w:cs="Arial"/>
          <w:sz w:val="22"/>
          <w:szCs w:val="22"/>
          <w:lang w:val="lt-LT"/>
        </w:rPr>
        <w:t xml:space="preserve">isais vėlesniais jo pakeitimais ir papildymais), Lietuvos Respublikos Vyriausybės </w:t>
      </w:r>
      <w:r w:rsidRPr="002C1A71">
        <w:rPr>
          <w:rFonts w:ascii="Arial" w:eastAsia="Arial" w:hAnsi="Arial" w:cs="Arial"/>
          <w:color w:val="000000" w:themeColor="text1"/>
          <w:sz w:val="22"/>
          <w:szCs w:val="22"/>
          <w:lang w:val="lt-LT"/>
        </w:rPr>
        <w:t>2023 m. birželio 28 d. nutarimas Nr. 512 ,,</w:t>
      </w:r>
      <w:r w:rsidRPr="002C1A71">
        <w:rPr>
          <w:rFonts w:ascii="Arial" w:eastAsia="Arial" w:hAnsi="Arial" w:cs="Arial"/>
          <w:color w:val="333333"/>
          <w:sz w:val="22"/>
          <w:szCs w:val="22"/>
          <w:lang w:val="lt-LT"/>
        </w:rPr>
        <w:t>Dėl Nacionalinių kontrolės priemonių taikymo pagal reglamento (ES) 2021/821 9 straipsnį</w:t>
      </w:r>
      <w:r w:rsidRPr="002C1A71">
        <w:rPr>
          <w:rFonts w:ascii="Arial" w:eastAsia="Arial" w:hAnsi="Arial" w:cs="Arial"/>
          <w:sz w:val="22"/>
          <w:szCs w:val="22"/>
          <w:lang w:val="lt-LT"/>
        </w:rPr>
        <w:t xml:space="preserve"> (su visais vėlesniais jo pakeitimais ir papildymais) </w:t>
      </w:r>
      <w:r w:rsidRPr="002C1A71">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2D7AC97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gavęs Pardavėjo prašymą dėl papildomų dokumentų, būtinų šios Sutarties </w:t>
      </w:r>
      <w:r w:rsidRPr="002C1A71">
        <w:rPr>
          <w:rFonts w:ascii="Arial" w:eastAsiaTheme="minorEastAsia" w:hAnsi="Arial" w:cs="Arial"/>
          <w:sz w:val="22"/>
          <w:szCs w:val="22"/>
          <w:lang w:val="lt-LT"/>
        </w:rPr>
        <w:t xml:space="preserve">Bendrųjų sąlygų </w:t>
      </w:r>
      <w:r w:rsidR="00007112" w:rsidRPr="002C1A71">
        <w:rPr>
          <w:rFonts w:ascii="Arial" w:eastAsiaTheme="minorEastAsia" w:hAnsi="Arial" w:cs="Arial"/>
          <w:sz w:val="22"/>
          <w:szCs w:val="22"/>
          <w:lang w:val="lt-LT"/>
        </w:rPr>
        <w:t>35</w:t>
      </w:r>
      <w:r w:rsidRPr="002C1A71">
        <w:rPr>
          <w:rFonts w:ascii="Arial" w:eastAsiaTheme="minorEastAsia" w:hAnsi="Arial" w:cs="Arial"/>
          <w:sz w:val="22"/>
          <w:szCs w:val="22"/>
          <w:lang w:val="lt-LT"/>
        </w:rPr>
        <w:t xml:space="preserve"> ir </w:t>
      </w:r>
      <w:r w:rsidR="00007112" w:rsidRPr="002C1A71">
        <w:rPr>
          <w:rFonts w:ascii="Arial" w:eastAsiaTheme="minorEastAsia" w:hAnsi="Arial" w:cs="Arial"/>
          <w:sz w:val="22"/>
          <w:szCs w:val="22"/>
          <w:lang w:val="lt-LT"/>
        </w:rPr>
        <w:t>36</w:t>
      </w:r>
      <w:r w:rsidRPr="002C1A71">
        <w:rPr>
          <w:rFonts w:ascii="Arial" w:eastAsiaTheme="minorEastAsia" w:hAnsi="Arial" w:cs="Arial"/>
          <w:sz w:val="22"/>
          <w:szCs w:val="22"/>
          <w:lang w:val="lt-LT"/>
        </w:rPr>
        <w:t xml:space="preserve"> punktuose </w:t>
      </w:r>
      <w:r w:rsidRPr="002C1A71">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831115"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3FDD9F31" w14:textId="77777777" w:rsidR="00342DAD"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3430E9A0" w14:textId="30D35164" w:rsidR="00342DAD"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lastRenderedPageBreak/>
        <w:t xml:space="preserve"> </w:t>
      </w:r>
      <w:r w:rsidR="00342DAD" w:rsidRPr="00856D89">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537F7C43" w14:textId="4C09D8E9" w:rsidR="00342DAD"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856D89">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5CCEE7B6" w14:textId="59DE494B" w:rsidR="00342DAD"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F81AB5">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089C1500" w14:textId="3B934BA2" w:rsidR="00342DAD"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F81AB5">
        <w:rPr>
          <w:rFonts w:ascii="Arial" w:hAnsi="Arial" w:cs="Arial"/>
          <w:sz w:val="22"/>
          <w:szCs w:val="22"/>
          <w:lang w:val="lt-LT"/>
        </w:rPr>
        <w:t>yra įsisteigęs ir veikia valstybėje, kuri nėra įtraukta į valstybių, keliančių grėsmę Lietuvos Respublikos nacionaliniam saugumui, sąrašą;</w:t>
      </w:r>
    </w:p>
    <w:p w14:paraId="66DE5958" w14:textId="20259D97" w:rsidR="00342DAD" w:rsidRPr="00BD21E4" w:rsidRDefault="00BD21E4" w:rsidP="00BD21E4">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BD21E4">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7B167595" w14:textId="77777777" w:rsidR="00342DAD"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bendradarbiauti su Pardavėju, kai šis tikrina Pirkėjo atitiktį šiems reikalavimams, ir pateikti visą prašomą informaciją bei dokumentus.</w:t>
      </w:r>
    </w:p>
    <w:p w14:paraId="27A9D58F" w14:textId="77777777" w:rsidR="00342DAD"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281CE94B" w14:textId="02CC641E" w:rsidR="00831115"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7F1B01E3" w14:textId="0DC6076D" w:rsidR="00131093" w:rsidRPr="002C1A71"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 </w:t>
      </w:r>
      <w:r w:rsidRPr="002C1A71">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2C1A71">
        <w:rPr>
          <w:rFonts w:ascii="Arial" w:hAnsi="Arial" w:cs="Arial"/>
          <w:sz w:val="22"/>
          <w:szCs w:val="22"/>
          <w:lang w:val="lt-LT"/>
        </w:rPr>
        <w:t>35.</w:t>
      </w:r>
      <w:r w:rsidRPr="002C1A71">
        <w:rPr>
          <w:rFonts w:ascii="Arial" w:hAnsi="Arial" w:cs="Arial"/>
          <w:sz w:val="22"/>
          <w:szCs w:val="22"/>
          <w:lang w:val="lt-LT"/>
        </w:rPr>
        <w:t xml:space="preserve"> punkte nustatytų sąlygų, </w:t>
      </w:r>
      <w:proofErr w:type="spellStart"/>
      <w:r w:rsidRPr="002C1A71">
        <w:rPr>
          <w:rFonts w:ascii="Arial" w:hAnsi="Arial" w:cs="Arial"/>
          <w:sz w:val="22"/>
          <w:szCs w:val="22"/>
          <w:lang w:val="lt-LT"/>
        </w:rPr>
        <w:t>t.y</w:t>
      </w:r>
      <w:proofErr w:type="spellEnd"/>
      <w:r w:rsidRPr="002C1A71">
        <w:rPr>
          <w:rFonts w:ascii="Arial" w:hAnsi="Arial" w:cs="Arial"/>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2C1A71">
        <w:rPr>
          <w:rFonts w:ascii="Arial" w:hAnsi="Arial" w:cs="Arial"/>
          <w:sz w:val="22"/>
          <w:szCs w:val="22"/>
          <w:lang w:val="lt-LT"/>
        </w:rPr>
        <w:t>reputacinę</w:t>
      </w:r>
      <w:proofErr w:type="spellEnd"/>
      <w:r w:rsidRPr="002C1A71">
        <w:rPr>
          <w:rFonts w:ascii="Arial" w:hAnsi="Arial" w:cs="Arial"/>
          <w:sz w:val="22"/>
          <w:szCs w:val="22"/>
          <w:lang w:val="lt-LT"/>
        </w:rPr>
        <w:t xml:space="preserve"> žalą</w:t>
      </w:r>
    </w:p>
    <w:p w14:paraId="4A246C15"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79DAAA1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Jeigu Pirkėjas po Pardavėjo išvados dėl neatitikties šių Sutarties sąlygų </w:t>
      </w:r>
      <w:r w:rsidR="00007112" w:rsidRPr="002C1A71">
        <w:rPr>
          <w:rFonts w:ascii="Arial" w:eastAsia="Batang" w:hAnsi="Arial" w:cs="Arial"/>
          <w:sz w:val="22"/>
          <w:szCs w:val="22"/>
          <w:lang w:val="lt-LT"/>
        </w:rPr>
        <w:t>35</w:t>
      </w:r>
      <w:r w:rsidRPr="002C1A71">
        <w:rPr>
          <w:rFonts w:ascii="Arial" w:eastAsia="Batang" w:hAnsi="Arial" w:cs="Arial"/>
          <w:sz w:val="22"/>
          <w:szCs w:val="22"/>
          <w:lang w:val="lt-LT"/>
        </w:rPr>
        <w:t xml:space="preserve"> ir </w:t>
      </w:r>
      <w:r w:rsidR="00007112" w:rsidRPr="002C1A71">
        <w:rPr>
          <w:rFonts w:ascii="Arial" w:eastAsia="Batang" w:hAnsi="Arial" w:cs="Arial"/>
          <w:sz w:val="22"/>
          <w:szCs w:val="22"/>
          <w:lang w:val="lt-LT"/>
        </w:rPr>
        <w:t>36</w:t>
      </w:r>
      <w:r w:rsidRPr="002C1A71">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2C1A71">
        <w:rPr>
          <w:rFonts w:ascii="Arial" w:eastAsia="Batang" w:hAnsi="Arial" w:cs="Arial"/>
          <w:sz w:val="22"/>
          <w:szCs w:val="22"/>
          <w:lang w:val="lt-LT"/>
        </w:rPr>
        <w:t>due</w:t>
      </w:r>
      <w:proofErr w:type="spellEnd"/>
      <w:r w:rsidRPr="002C1A71">
        <w:rPr>
          <w:rFonts w:ascii="Arial" w:eastAsia="Batang" w:hAnsi="Arial" w:cs="Arial"/>
          <w:sz w:val="22"/>
          <w:szCs w:val="22"/>
          <w:lang w:val="lt-LT"/>
        </w:rPr>
        <w:t xml:space="preserve"> </w:t>
      </w:r>
      <w:proofErr w:type="spellStart"/>
      <w:r w:rsidRPr="002C1A71">
        <w:rPr>
          <w:rFonts w:ascii="Arial" w:eastAsia="Batang" w:hAnsi="Arial" w:cs="Arial"/>
          <w:sz w:val="22"/>
          <w:szCs w:val="22"/>
          <w:lang w:val="lt-LT"/>
        </w:rPr>
        <w:t>diligence</w:t>
      </w:r>
      <w:proofErr w:type="spellEnd"/>
      <w:r w:rsidRPr="002C1A71">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lastRenderedPageBreak/>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56C1CE9E"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Gavus iš Pirkėjo </w:t>
      </w:r>
      <w:r w:rsidR="00007112" w:rsidRPr="002C1A71">
        <w:rPr>
          <w:rFonts w:ascii="Arial" w:hAnsi="Arial" w:cs="Arial"/>
          <w:sz w:val="22"/>
          <w:szCs w:val="22"/>
          <w:lang w:val="lt-LT"/>
        </w:rPr>
        <w:t>4</w:t>
      </w:r>
      <w:r w:rsidR="00E5675E">
        <w:rPr>
          <w:rFonts w:ascii="Arial" w:hAnsi="Arial" w:cs="Arial"/>
          <w:sz w:val="22"/>
          <w:szCs w:val="22"/>
          <w:lang w:val="lt-LT"/>
        </w:rPr>
        <w:t>5</w:t>
      </w:r>
      <w:r w:rsidRPr="002C1A71">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2C1A71" w:rsidRDefault="00131093" w:rsidP="00131093">
      <w:pPr>
        <w:pStyle w:val="ListParagraph"/>
        <w:numPr>
          <w:ilvl w:val="1"/>
          <w:numId w:val="6"/>
        </w:numPr>
        <w:tabs>
          <w:tab w:val="left" w:pos="1080"/>
        </w:tabs>
        <w:spacing w:line="276" w:lineRule="auto"/>
        <w:ind w:left="432" w:right="-27" w:firstLine="18"/>
        <w:jc w:val="both"/>
        <w:rPr>
          <w:rFonts w:ascii="Arial" w:hAnsi="Arial" w:cs="Arial"/>
          <w:sz w:val="22"/>
          <w:szCs w:val="22"/>
          <w:lang w:val="lt-LT"/>
        </w:rPr>
      </w:pPr>
      <w:r w:rsidRPr="002C1A71">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2C1A71"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2C1A71"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2C1A71"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77777777" w:rsidR="009E2533" w:rsidRPr="002C1A71" w:rsidRDefault="009E2533"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2C1A71">
        <w:rPr>
          <w:rFonts w:ascii="Arial" w:hAnsi="Arial" w:cs="Arial"/>
          <w:b/>
          <w:bCs/>
          <w:sz w:val="22"/>
          <w:szCs w:val="22"/>
          <w:lang w:val="lt-LT"/>
        </w:rPr>
        <w:t>X. NENUGALIMOS JĖGOS APLINKYBĖS (Force – majeure)</w:t>
      </w:r>
    </w:p>
    <w:p w14:paraId="6AFFAE9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2C1A71">
        <w:rPr>
          <w:rFonts w:ascii="Arial" w:hAnsi="Arial" w:cs="Arial"/>
          <w:sz w:val="22"/>
          <w:szCs w:val="22"/>
          <w:lang w:val="lt-LT"/>
        </w:rPr>
        <w:t>protingai numatyti</w:t>
      </w:r>
      <w:r w:rsidRPr="002C1A71">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2C1A71"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3C8857EC" w:rsidR="009E2533" w:rsidRPr="002C1A71"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2C1A71">
        <w:rPr>
          <w:rFonts w:ascii="Arial" w:hAnsi="Arial" w:cs="Arial"/>
          <w:b/>
          <w:sz w:val="22"/>
          <w:szCs w:val="22"/>
          <w:lang w:val="lt-LT"/>
        </w:rPr>
        <w:t>XI. GINČŲ SPRENDIMO TVARKA</w:t>
      </w:r>
    </w:p>
    <w:p w14:paraId="1179807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2C1A71" w:rsidRDefault="009E2533" w:rsidP="009F498C">
      <w:pPr>
        <w:spacing w:line="276" w:lineRule="auto"/>
        <w:ind w:right="-27" w:firstLine="540"/>
        <w:jc w:val="center"/>
        <w:rPr>
          <w:rFonts w:ascii="Arial" w:hAnsi="Arial" w:cs="Arial"/>
          <w:b/>
          <w:bCs/>
          <w:sz w:val="22"/>
          <w:szCs w:val="22"/>
          <w:lang w:val="lt-LT"/>
        </w:rPr>
      </w:pPr>
    </w:p>
    <w:p w14:paraId="160777B3" w14:textId="77777777" w:rsidR="009E2533" w:rsidRPr="002C1A71" w:rsidRDefault="009E2533" w:rsidP="009F498C">
      <w:pPr>
        <w:spacing w:line="276" w:lineRule="auto"/>
        <w:ind w:right="-27" w:firstLine="547"/>
        <w:jc w:val="center"/>
        <w:rPr>
          <w:rFonts w:ascii="Arial" w:hAnsi="Arial" w:cs="Arial"/>
          <w:b/>
          <w:bCs/>
          <w:sz w:val="22"/>
          <w:szCs w:val="22"/>
          <w:lang w:val="lt-LT"/>
        </w:rPr>
      </w:pPr>
      <w:r w:rsidRPr="002C1A71">
        <w:rPr>
          <w:rFonts w:ascii="Arial" w:hAnsi="Arial" w:cs="Arial"/>
          <w:b/>
          <w:bCs/>
          <w:sz w:val="22"/>
          <w:szCs w:val="22"/>
          <w:lang w:val="lt-LT"/>
        </w:rPr>
        <w:t>XII. KITOS SUTARTIES SĄLYGOS</w:t>
      </w:r>
    </w:p>
    <w:p w14:paraId="3787D7E8" w14:textId="77777777" w:rsidR="009E2533" w:rsidRPr="002C1A71" w:rsidRDefault="009E2533" w:rsidP="009F498C">
      <w:pPr>
        <w:spacing w:line="276" w:lineRule="auto"/>
        <w:ind w:left="720" w:right="-27"/>
        <w:rPr>
          <w:rFonts w:ascii="Arial" w:hAnsi="Arial" w:cs="Arial"/>
          <w:b/>
          <w:bCs/>
          <w:sz w:val="22"/>
          <w:szCs w:val="22"/>
          <w:lang w:val="lt-LT"/>
        </w:rPr>
      </w:pPr>
    </w:p>
    <w:p w14:paraId="7172BCDD"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2C1A71">
        <w:rPr>
          <w:rFonts w:ascii="Arial" w:hAnsi="Arial" w:cs="Arial"/>
          <w:sz w:val="22"/>
          <w:szCs w:val="22"/>
          <w:lang w:val="lt-LT"/>
        </w:rPr>
        <w:t>Vadovaujantis Darboviečių įrengimo bendraisiais nuostatais (Žin., 1998-05-13, Nr. 44-1224), Darboviečių įrengimo statybvietėse nuostatais (Žin., 2008-01-24, Nr. 10-362), Saugos ir sveikatos taisyklėmis statyboje DT 5-00 (Žin., 2001-01-10, Nr. 3-74) bei atsižvelgiant į darbų geležinkelyje ypatumus, prieš darbų pradžią Pirkėjas iš Pardavėjo turi gauti aktą-leidimą darbų vykdymui.</w:t>
      </w:r>
    </w:p>
    <w:p w14:paraId="5E7577BF"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Po Sutarties pasirašymo susirašinėjimas dėl jos netenka galios.</w:t>
      </w:r>
    </w:p>
    <w:p w14:paraId="5B7FBB5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Nė viena šios Sutarties Šalis neturi teisės perduoti šia Sutartimi apibrėžtų teisių ir pareigų tretiesiems asmenims be raštiško kitos Šalies sutikimo.</w:t>
      </w:r>
    </w:p>
    <w:p w14:paraId="4E42FA7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1C9837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Šalis nevykdanti ar netinkamai vykdanti Sutarties 4</w:t>
      </w:r>
      <w:r w:rsidR="006F7E6F" w:rsidRPr="002C1A71">
        <w:rPr>
          <w:rFonts w:ascii="Arial" w:hAnsi="Arial" w:cs="Arial"/>
          <w:sz w:val="22"/>
          <w:szCs w:val="22"/>
          <w:lang w:val="lt-LT"/>
        </w:rPr>
        <w:t>6</w:t>
      </w:r>
      <w:r w:rsidRPr="002C1A71">
        <w:rPr>
          <w:rFonts w:ascii="Arial" w:hAnsi="Arial" w:cs="Arial"/>
          <w:sz w:val="22"/>
          <w:szCs w:val="22"/>
          <w:lang w:val="lt-LT"/>
        </w:rPr>
        <w:t xml:space="preserve"> punkte numatytus įsipareigojimus privalo atlyginti kitai Šaliai dėl to patirtus nuostolius, įskaitant, bet neapsiribojant valstybės institucijų paskirtas baudas ir / ar kitas pinigines sankcijas.</w:t>
      </w:r>
    </w:p>
    <w:p w14:paraId="3F09B42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 Sutartis sudaryta lietuvių kalba dviem egzemplioriais, turinčiais vienodą juridinę galią, po vieną kiekvienai Sutarties Šaliai.</w:t>
      </w:r>
    </w:p>
    <w:p w14:paraId="78B30AE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Visi pranešimai pagal šią Sutartį turi būti siunčiami el. paštu (PDF formatu), Sutarties XV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07B752F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yra</w:t>
      </w:r>
      <w:r w:rsidR="000F3F96" w:rsidRPr="002C1A71">
        <w:rPr>
          <w:rFonts w:ascii="Arial" w:hAnsi="Arial" w:cs="Arial"/>
          <w:sz w:val="22"/>
          <w:szCs w:val="22"/>
          <w:lang w:val="lt-LT"/>
        </w:rPr>
        <w:t xml:space="preserve"> </w:t>
      </w:r>
      <w:r w:rsidRPr="002C1A71">
        <w:rPr>
          <w:rFonts w:ascii="Arial" w:hAnsi="Arial" w:cs="Arial"/>
          <w:sz w:val="22"/>
          <w:szCs w:val="22"/>
          <w:lang w:val="lt-LT"/>
        </w:rPr>
        <w:t>registruotas PVM mokėtoju Lietuvos Respublikoje.</w:t>
      </w:r>
    </w:p>
    <w:p w14:paraId="1EF65C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2C1A71"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77777777" w:rsidR="009E2533" w:rsidRPr="002C1A71"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XIII. SUTARTIES GALIOJIMO TERMINAS</w:t>
      </w:r>
    </w:p>
    <w:p w14:paraId="372546C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Cs/>
          <w:sz w:val="22"/>
          <w:szCs w:val="22"/>
          <w:lang w:val="lt-LT"/>
        </w:rPr>
        <w:t xml:space="preserve">Sutartis laikoma </w:t>
      </w:r>
      <w:r w:rsidRPr="002C1A71">
        <w:rPr>
          <w:rFonts w:ascii="Arial" w:hAnsi="Arial" w:cs="Arial"/>
          <w:sz w:val="22"/>
          <w:szCs w:val="22"/>
          <w:lang w:val="lt-LT"/>
        </w:rPr>
        <w:t>sudaryta</w:t>
      </w:r>
      <w:r w:rsidRPr="002C1A71">
        <w:rPr>
          <w:rFonts w:ascii="Arial" w:hAnsi="Arial" w:cs="Arial"/>
          <w:bCs/>
          <w:sz w:val="22"/>
          <w:szCs w:val="22"/>
          <w:lang w:val="lt-LT"/>
        </w:rPr>
        <w:t xml:space="preserve"> ir įsigalioja </w:t>
      </w:r>
      <w:r w:rsidRPr="002C1A71">
        <w:rPr>
          <w:rFonts w:ascii="Arial" w:hAnsi="Arial" w:cs="Arial"/>
          <w:sz w:val="22"/>
          <w:szCs w:val="22"/>
          <w:lang w:val="lt-LT"/>
        </w:rPr>
        <w:t>ją pasirašius Šalių atstovams ir galioja iki</w:t>
      </w:r>
      <w:r w:rsidRPr="002C1A71">
        <w:rPr>
          <w:rFonts w:ascii="Arial" w:hAnsi="Arial" w:cs="Arial"/>
          <w:bCs/>
          <w:sz w:val="22"/>
          <w:szCs w:val="22"/>
          <w:lang w:val="lt-LT"/>
        </w:rPr>
        <w:t xml:space="preserve"> visiško abiejų Sutarties Šalių įsipareigojimų įvykdymo</w:t>
      </w:r>
      <w:r w:rsidRPr="002C1A71">
        <w:rPr>
          <w:rFonts w:ascii="Arial" w:hAnsi="Arial" w:cs="Arial"/>
          <w:sz w:val="22"/>
          <w:szCs w:val="22"/>
          <w:lang w:val="lt-LT"/>
        </w:rPr>
        <w:t>.</w:t>
      </w:r>
    </w:p>
    <w:p w14:paraId="2C1871C5" w14:textId="77777777" w:rsidR="009E2533" w:rsidRPr="002C1A71"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77777777" w:rsidR="009E2533" w:rsidRPr="002C1A71" w:rsidRDefault="009E2533" w:rsidP="009F498C">
      <w:pPr>
        <w:spacing w:after="120" w:line="276" w:lineRule="auto"/>
        <w:ind w:left="-357" w:right="-28" w:firstLine="720"/>
        <w:jc w:val="center"/>
        <w:rPr>
          <w:rFonts w:ascii="Arial" w:hAnsi="Arial" w:cs="Arial"/>
          <w:b/>
          <w:sz w:val="22"/>
          <w:szCs w:val="22"/>
          <w:lang w:val="lt-LT"/>
        </w:rPr>
      </w:pPr>
      <w:r w:rsidRPr="002C1A71">
        <w:rPr>
          <w:rFonts w:ascii="Arial" w:hAnsi="Arial" w:cs="Arial"/>
          <w:b/>
          <w:sz w:val="22"/>
          <w:szCs w:val="22"/>
          <w:lang w:val="lt-LT"/>
        </w:rPr>
        <w:t>XIV. SUTARTIES PRIEDAI</w:t>
      </w:r>
    </w:p>
    <w:p w14:paraId="3B27BB40"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Priedas </w:t>
      </w:r>
      <w:r w:rsidRPr="002C1A71">
        <w:rPr>
          <w:rFonts w:ascii="Arial" w:hAnsi="Arial" w:cs="Arial"/>
          <w:bCs/>
          <w:sz w:val="22"/>
          <w:szCs w:val="22"/>
          <w:lang w:val="lt-LT"/>
        </w:rPr>
        <w:t>Nr. 1 – Parduodamo metalų laužo rūšys, kiekiai, sandėliavimo vietos</w:t>
      </w:r>
      <w:r w:rsidRPr="002C1A71">
        <w:rPr>
          <w:rFonts w:ascii="Arial" w:hAnsi="Arial" w:cs="Arial"/>
          <w:sz w:val="22"/>
          <w:szCs w:val="22"/>
          <w:lang w:val="lt-LT"/>
        </w:rPr>
        <w:t xml:space="preserve"> </w:t>
      </w:r>
      <w:r w:rsidRPr="002C1A71">
        <w:rPr>
          <w:rFonts w:ascii="Arial" w:hAnsi="Arial" w:cs="Arial"/>
          <w:bCs/>
          <w:sz w:val="22"/>
          <w:szCs w:val="22"/>
          <w:lang w:val="lt-LT"/>
        </w:rPr>
        <w:t>ir už atliekų pridavimą atsakingi darbuotojai;</w:t>
      </w:r>
    </w:p>
    <w:p w14:paraId="1709F534" w14:textId="70C504DA" w:rsidR="00A710F7"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Laužo perdavimo-priėmimo aktas;</w:t>
      </w:r>
    </w:p>
    <w:p w14:paraId="79BC729B" w14:textId="0D4587AC" w:rsidR="00B059ED" w:rsidRPr="002C1A71"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Deklaracija.</w:t>
      </w:r>
    </w:p>
    <w:p w14:paraId="300B15AB" w14:textId="77777777" w:rsidR="00DB1C7A" w:rsidRPr="002C1A71" w:rsidRDefault="00DB1C7A" w:rsidP="009F498C">
      <w:pPr>
        <w:spacing w:line="276" w:lineRule="auto"/>
        <w:ind w:right="-27"/>
        <w:jc w:val="both"/>
        <w:rPr>
          <w:rFonts w:ascii="Arial" w:hAnsi="Arial" w:cs="Arial"/>
          <w:sz w:val="22"/>
          <w:szCs w:val="22"/>
          <w:lang w:val="lt-LT"/>
        </w:rPr>
      </w:pPr>
    </w:p>
    <w:p w14:paraId="6C326109" w14:textId="77777777" w:rsidR="003B5073" w:rsidRPr="002C1A71" w:rsidRDefault="003B5073" w:rsidP="009F498C">
      <w:pPr>
        <w:spacing w:line="276" w:lineRule="auto"/>
        <w:ind w:right="-27"/>
        <w:jc w:val="both"/>
        <w:rPr>
          <w:rFonts w:ascii="Arial" w:hAnsi="Arial" w:cs="Arial"/>
          <w:sz w:val="22"/>
          <w:szCs w:val="22"/>
          <w:lang w:val="lt-LT"/>
        </w:rPr>
      </w:pPr>
    </w:p>
    <w:p w14:paraId="0B50DBB6" w14:textId="78DED07A" w:rsidR="007940B2" w:rsidRPr="002C1A71" w:rsidRDefault="00BF29B7" w:rsidP="009F498C">
      <w:pPr>
        <w:spacing w:line="276" w:lineRule="auto"/>
        <w:ind w:left="3420" w:right="-27"/>
        <w:jc w:val="both"/>
        <w:rPr>
          <w:rFonts w:ascii="Arial" w:hAnsi="Arial" w:cs="Arial"/>
          <w:b/>
          <w:sz w:val="22"/>
          <w:szCs w:val="22"/>
          <w:lang w:val="lt-LT"/>
        </w:rPr>
      </w:pPr>
      <w:r w:rsidRPr="002C1A71">
        <w:rPr>
          <w:rFonts w:ascii="Arial" w:hAnsi="Arial" w:cs="Arial"/>
          <w:b/>
          <w:sz w:val="22"/>
          <w:szCs w:val="22"/>
          <w:lang w:val="lt-LT"/>
        </w:rPr>
        <w:t>X</w:t>
      </w:r>
      <w:r w:rsidR="007940B2" w:rsidRPr="002C1A71">
        <w:rPr>
          <w:rFonts w:ascii="Arial" w:hAnsi="Arial" w:cs="Arial"/>
          <w:b/>
          <w:sz w:val="22"/>
          <w:szCs w:val="22"/>
          <w:lang w:val="lt-LT"/>
        </w:rPr>
        <w:t xml:space="preserve">V. ŠALIŲ REKVIZITAI </w:t>
      </w:r>
    </w:p>
    <w:p w14:paraId="628017DC" w14:textId="77777777" w:rsidR="00172477" w:rsidRPr="002C1A71" w:rsidRDefault="00172477" w:rsidP="009F498C">
      <w:pPr>
        <w:spacing w:line="276" w:lineRule="auto"/>
        <w:ind w:left="3420" w:right="-27"/>
        <w:jc w:val="both"/>
        <w:rPr>
          <w:rFonts w:ascii="Arial" w:hAnsi="Arial" w:cs="Arial"/>
          <w:b/>
          <w:sz w:val="22"/>
          <w:szCs w:val="22"/>
          <w:lang w:val="lt-LT"/>
        </w:rPr>
      </w:pPr>
    </w:p>
    <w:tbl>
      <w:tblPr>
        <w:tblW w:w="9889" w:type="dxa"/>
        <w:tblLook w:val="04A0" w:firstRow="1" w:lastRow="0" w:firstColumn="1" w:lastColumn="0" w:noHBand="0" w:noVBand="1"/>
      </w:tblPr>
      <w:tblGrid>
        <w:gridCol w:w="4805"/>
        <w:gridCol w:w="280"/>
        <w:gridCol w:w="4804"/>
      </w:tblGrid>
      <w:tr w:rsidR="000B0D3C" w:rsidRPr="002C1A71" w14:paraId="52B6CCCA" w14:textId="77777777" w:rsidTr="00AD1393">
        <w:trPr>
          <w:trHeight w:val="275"/>
        </w:trPr>
        <w:tc>
          <w:tcPr>
            <w:tcW w:w="4805" w:type="dxa"/>
          </w:tcPr>
          <w:p w14:paraId="5ADEC989" w14:textId="77777777" w:rsidR="000B0D3C" w:rsidRPr="002C1A71" w:rsidRDefault="000B0D3C" w:rsidP="00AD1393">
            <w:pPr>
              <w:spacing w:line="276" w:lineRule="auto"/>
              <w:ind w:right="-27"/>
              <w:rPr>
                <w:rFonts w:ascii="Arial" w:hAnsi="Arial" w:cs="Arial"/>
                <w:sz w:val="22"/>
                <w:szCs w:val="22"/>
                <w:lang w:val="lt-LT"/>
              </w:rPr>
            </w:pPr>
            <w:r w:rsidRPr="002C1A71">
              <w:rPr>
                <w:rFonts w:ascii="Arial" w:hAnsi="Arial" w:cs="Arial"/>
                <w:b/>
                <w:sz w:val="22"/>
                <w:szCs w:val="22"/>
                <w:lang w:val="lt-LT"/>
              </w:rPr>
              <w:t>PARDAVĖJAS</w:t>
            </w:r>
          </w:p>
        </w:tc>
        <w:tc>
          <w:tcPr>
            <w:tcW w:w="280" w:type="dxa"/>
          </w:tcPr>
          <w:p w14:paraId="2FE678D1" w14:textId="77777777" w:rsidR="000B0D3C" w:rsidRPr="002C1A71" w:rsidRDefault="000B0D3C" w:rsidP="00AD1393">
            <w:pPr>
              <w:spacing w:line="276" w:lineRule="auto"/>
              <w:ind w:left="-250" w:right="-27"/>
              <w:rPr>
                <w:rFonts w:ascii="Arial" w:hAnsi="Arial" w:cs="Arial"/>
                <w:sz w:val="22"/>
                <w:szCs w:val="22"/>
                <w:lang w:val="lt-LT"/>
              </w:rPr>
            </w:pPr>
          </w:p>
        </w:tc>
        <w:tc>
          <w:tcPr>
            <w:tcW w:w="4804" w:type="dxa"/>
          </w:tcPr>
          <w:p w14:paraId="37B5C0EB" w14:textId="77777777" w:rsidR="000B0D3C" w:rsidRPr="002C1A71" w:rsidRDefault="000B0D3C" w:rsidP="00AD1393">
            <w:pPr>
              <w:spacing w:line="276" w:lineRule="auto"/>
              <w:ind w:left="-65" w:right="-27"/>
              <w:jc w:val="both"/>
              <w:rPr>
                <w:rFonts w:ascii="Arial" w:hAnsi="Arial" w:cs="Arial"/>
                <w:sz w:val="22"/>
                <w:szCs w:val="22"/>
                <w:lang w:val="lt-LT"/>
              </w:rPr>
            </w:pPr>
            <w:r w:rsidRPr="002C1A71">
              <w:rPr>
                <w:rFonts w:ascii="Arial" w:hAnsi="Arial" w:cs="Arial"/>
                <w:b/>
                <w:color w:val="000000" w:themeColor="text1"/>
                <w:sz w:val="22"/>
                <w:szCs w:val="22"/>
                <w:lang w:val="lt-LT"/>
              </w:rPr>
              <w:t>PIRKĖJAS</w:t>
            </w:r>
          </w:p>
        </w:tc>
      </w:tr>
      <w:tr w:rsidR="00E41442" w:rsidRPr="002C1A71" w14:paraId="00703318" w14:textId="77777777" w:rsidTr="00AD1393">
        <w:trPr>
          <w:trHeight w:val="267"/>
        </w:trPr>
        <w:tc>
          <w:tcPr>
            <w:tcW w:w="4805" w:type="dxa"/>
          </w:tcPr>
          <w:p w14:paraId="49DB3DEB" w14:textId="208F423D" w:rsidR="00E41442" w:rsidRPr="002C1A71" w:rsidRDefault="00E41442" w:rsidP="00E41442">
            <w:pPr>
              <w:spacing w:line="276" w:lineRule="auto"/>
              <w:ind w:right="-27"/>
              <w:rPr>
                <w:rFonts w:ascii="Arial" w:hAnsi="Arial" w:cs="Arial"/>
                <w:sz w:val="22"/>
                <w:szCs w:val="22"/>
                <w:lang w:val="lt-LT"/>
              </w:rPr>
            </w:pPr>
          </w:p>
        </w:tc>
        <w:tc>
          <w:tcPr>
            <w:tcW w:w="280" w:type="dxa"/>
          </w:tcPr>
          <w:p w14:paraId="7AE346B8"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C1D05B0" w14:textId="4F9A1FAB" w:rsidR="00E41442" w:rsidRPr="002C1A71" w:rsidRDefault="00E41442" w:rsidP="00E41442">
            <w:pPr>
              <w:spacing w:line="276" w:lineRule="auto"/>
              <w:ind w:left="-65" w:right="-27"/>
              <w:jc w:val="both"/>
              <w:rPr>
                <w:rFonts w:ascii="Arial" w:hAnsi="Arial" w:cs="Arial"/>
                <w:b/>
                <w:sz w:val="22"/>
                <w:szCs w:val="22"/>
                <w:lang w:val="lt-LT"/>
              </w:rPr>
            </w:pPr>
          </w:p>
        </w:tc>
      </w:tr>
      <w:tr w:rsidR="00E41442" w:rsidRPr="002C1A71" w14:paraId="678EC4F8" w14:textId="77777777" w:rsidTr="00AD1393">
        <w:trPr>
          <w:trHeight w:val="275"/>
        </w:trPr>
        <w:tc>
          <w:tcPr>
            <w:tcW w:w="4805" w:type="dxa"/>
          </w:tcPr>
          <w:p w14:paraId="6B64C076" w14:textId="32ECE305" w:rsidR="00E41442" w:rsidRPr="002C1A71" w:rsidRDefault="00E41442" w:rsidP="00E41442">
            <w:pPr>
              <w:spacing w:line="276" w:lineRule="auto"/>
              <w:ind w:right="-27"/>
              <w:rPr>
                <w:rFonts w:ascii="Arial" w:hAnsi="Arial" w:cs="Arial"/>
                <w:sz w:val="22"/>
                <w:szCs w:val="22"/>
                <w:lang w:val="lt-LT"/>
              </w:rPr>
            </w:pPr>
          </w:p>
        </w:tc>
        <w:tc>
          <w:tcPr>
            <w:tcW w:w="280" w:type="dxa"/>
          </w:tcPr>
          <w:p w14:paraId="1338572C"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374EC01" w14:textId="66BDB803"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219D0F11" w14:textId="77777777" w:rsidTr="00AD1393">
        <w:trPr>
          <w:trHeight w:val="267"/>
        </w:trPr>
        <w:tc>
          <w:tcPr>
            <w:tcW w:w="4805" w:type="dxa"/>
          </w:tcPr>
          <w:p w14:paraId="6B27396E" w14:textId="44CE0DE2" w:rsidR="00E41442" w:rsidRPr="002C1A71" w:rsidRDefault="00E41442" w:rsidP="00E41442">
            <w:pPr>
              <w:spacing w:line="276" w:lineRule="auto"/>
              <w:ind w:right="-27"/>
              <w:rPr>
                <w:rFonts w:ascii="Arial" w:hAnsi="Arial" w:cs="Arial"/>
                <w:sz w:val="22"/>
                <w:szCs w:val="22"/>
                <w:lang w:val="lt-LT"/>
              </w:rPr>
            </w:pPr>
          </w:p>
        </w:tc>
        <w:tc>
          <w:tcPr>
            <w:tcW w:w="280" w:type="dxa"/>
          </w:tcPr>
          <w:p w14:paraId="5AD31AE9"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6FBC307D" w14:textId="17494394"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71892DB0" w14:textId="77777777" w:rsidTr="00AD1393">
        <w:trPr>
          <w:trHeight w:val="275"/>
        </w:trPr>
        <w:tc>
          <w:tcPr>
            <w:tcW w:w="4805" w:type="dxa"/>
          </w:tcPr>
          <w:p w14:paraId="2157C922" w14:textId="2FF7737D" w:rsidR="00E41442" w:rsidRPr="002C1A71" w:rsidRDefault="00E41442" w:rsidP="00E41442">
            <w:pPr>
              <w:spacing w:line="276" w:lineRule="auto"/>
              <w:ind w:right="-27"/>
              <w:rPr>
                <w:rFonts w:ascii="Arial" w:hAnsi="Arial" w:cs="Arial"/>
                <w:sz w:val="22"/>
                <w:szCs w:val="22"/>
                <w:lang w:val="lt-LT"/>
              </w:rPr>
            </w:pPr>
          </w:p>
        </w:tc>
        <w:tc>
          <w:tcPr>
            <w:tcW w:w="280" w:type="dxa"/>
          </w:tcPr>
          <w:p w14:paraId="3FCBDB8B"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0AB23433" w14:textId="70B23B3C"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1D686CEE" w14:textId="77777777" w:rsidTr="00AD1393">
        <w:trPr>
          <w:trHeight w:val="267"/>
        </w:trPr>
        <w:tc>
          <w:tcPr>
            <w:tcW w:w="4805" w:type="dxa"/>
          </w:tcPr>
          <w:p w14:paraId="36AABCBD" w14:textId="43165AD3" w:rsidR="00E41442" w:rsidRPr="002C1A71" w:rsidRDefault="00E41442" w:rsidP="00E41442">
            <w:pPr>
              <w:spacing w:line="276" w:lineRule="auto"/>
              <w:ind w:right="-27"/>
              <w:rPr>
                <w:rFonts w:ascii="Arial" w:hAnsi="Arial" w:cs="Arial"/>
                <w:sz w:val="22"/>
                <w:szCs w:val="22"/>
                <w:lang w:val="lt-LT"/>
              </w:rPr>
            </w:pPr>
          </w:p>
        </w:tc>
        <w:tc>
          <w:tcPr>
            <w:tcW w:w="280" w:type="dxa"/>
          </w:tcPr>
          <w:p w14:paraId="4F17659E"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4FA238C3" w14:textId="00976F07"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6918A5F8" w14:textId="77777777" w:rsidTr="00AD1393">
        <w:trPr>
          <w:trHeight w:val="275"/>
        </w:trPr>
        <w:tc>
          <w:tcPr>
            <w:tcW w:w="4805" w:type="dxa"/>
          </w:tcPr>
          <w:p w14:paraId="4A27A301" w14:textId="4BA73761" w:rsidR="00E41442" w:rsidRPr="002C1A71" w:rsidRDefault="00E41442" w:rsidP="00E41442">
            <w:pPr>
              <w:spacing w:line="276" w:lineRule="auto"/>
              <w:ind w:right="-27"/>
              <w:rPr>
                <w:rFonts w:ascii="Arial" w:hAnsi="Arial" w:cs="Arial"/>
                <w:sz w:val="22"/>
                <w:szCs w:val="22"/>
                <w:lang w:val="lt-LT"/>
              </w:rPr>
            </w:pPr>
          </w:p>
        </w:tc>
        <w:tc>
          <w:tcPr>
            <w:tcW w:w="280" w:type="dxa"/>
          </w:tcPr>
          <w:p w14:paraId="6DA52E35"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4EAA714" w14:textId="4C8B0754"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0B0D3C" w:rsidRPr="002C1A71" w14:paraId="1AAD5879" w14:textId="77777777" w:rsidTr="00AD1393">
        <w:trPr>
          <w:trHeight w:val="267"/>
        </w:trPr>
        <w:tc>
          <w:tcPr>
            <w:tcW w:w="4805" w:type="dxa"/>
          </w:tcPr>
          <w:p w14:paraId="71A41719" w14:textId="69045F33" w:rsidR="000B0D3C" w:rsidRPr="002C1A71" w:rsidRDefault="000B0D3C" w:rsidP="00AD1393">
            <w:pPr>
              <w:spacing w:line="276" w:lineRule="auto"/>
              <w:ind w:right="-27"/>
              <w:rPr>
                <w:rFonts w:ascii="Arial" w:hAnsi="Arial" w:cs="Arial"/>
                <w:spacing w:val="3"/>
                <w:sz w:val="22"/>
                <w:szCs w:val="22"/>
                <w:lang w:val="lt-LT"/>
              </w:rPr>
            </w:pPr>
          </w:p>
        </w:tc>
        <w:tc>
          <w:tcPr>
            <w:tcW w:w="280" w:type="dxa"/>
          </w:tcPr>
          <w:p w14:paraId="3F170B86"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7221EDD1" w14:textId="0CA50CAB" w:rsidR="000B0D3C" w:rsidRPr="002C1A71" w:rsidRDefault="000B0D3C" w:rsidP="00AD1393">
            <w:pPr>
              <w:shd w:val="clear" w:color="auto" w:fill="FFFFFF"/>
              <w:spacing w:line="276" w:lineRule="auto"/>
              <w:ind w:left="-65" w:right="-27"/>
              <w:jc w:val="both"/>
              <w:rPr>
                <w:rFonts w:ascii="Arial" w:hAnsi="Arial" w:cs="Arial"/>
                <w:sz w:val="22"/>
                <w:szCs w:val="22"/>
                <w:lang w:val="lt-LT"/>
              </w:rPr>
            </w:pPr>
          </w:p>
        </w:tc>
      </w:tr>
      <w:tr w:rsidR="000B0D3C" w:rsidRPr="002C1A71" w14:paraId="7876C3A0" w14:textId="77777777" w:rsidTr="00AD1393">
        <w:trPr>
          <w:trHeight w:val="275"/>
        </w:trPr>
        <w:tc>
          <w:tcPr>
            <w:tcW w:w="4805" w:type="dxa"/>
          </w:tcPr>
          <w:p w14:paraId="5BA37491" w14:textId="4DC20E48" w:rsidR="000B0D3C" w:rsidRPr="002C1A71" w:rsidRDefault="000B0D3C" w:rsidP="00AD1393">
            <w:pPr>
              <w:spacing w:line="276" w:lineRule="auto"/>
              <w:ind w:right="-27"/>
              <w:rPr>
                <w:rFonts w:ascii="Arial" w:hAnsi="Arial" w:cs="Arial"/>
                <w:spacing w:val="-8"/>
                <w:sz w:val="22"/>
                <w:szCs w:val="22"/>
                <w:lang w:val="lt-LT"/>
              </w:rPr>
            </w:pPr>
          </w:p>
        </w:tc>
        <w:tc>
          <w:tcPr>
            <w:tcW w:w="280" w:type="dxa"/>
          </w:tcPr>
          <w:p w14:paraId="28BBD271"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12B30295" w14:textId="77777777" w:rsidR="000B0D3C" w:rsidRPr="002C1A71" w:rsidRDefault="000B0D3C" w:rsidP="00B42381">
            <w:pPr>
              <w:shd w:val="clear" w:color="auto" w:fill="FFFFFF"/>
              <w:spacing w:line="276" w:lineRule="auto"/>
              <w:ind w:right="-27"/>
              <w:jc w:val="both"/>
              <w:rPr>
                <w:rFonts w:ascii="Arial" w:hAnsi="Arial" w:cs="Arial"/>
                <w:sz w:val="22"/>
                <w:szCs w:val="22"/>
                <w:lang w:val="lt-LT"/>
              </w:rPr>
            </w:pPr>
          </w:p>
        </w:tc>
      </w:tr>
      <w:tr w:rsidR="000B0D3C" w:rsidRPr="002C1A71" w14:paraId="7DEC47C3" w14:textId="77777777" w:rsidTr="00AD1393">
        <w:trPr>
          <w:trHeight w:val="275"/>
        </w:trPr>
        <w:tc>
          <w:tcPr>
            <w:tcW w:w="4805" w:type="dxa"/>
          </w:tcPr>
          <w:p w14:paraId="6CFA30A4" w14:textId="77777777" w:rsidR="000B0D3C" w:rsidRPr="002C1A71" w:rsidRDefault="000B0D3C" w:rsidP="00AD1393">
            <w:pPr>
              <w:spacing w:line="276" w:lineRule="auto"/>
              <w:ind w:right="-27"/>
              <w:rPr>
                <w:rFonts w:ascii="Arial" w:hAnsi="Arial" w:cs="Arial"/>
                <w:spacing w:val="-9"/>
                <w:sz w:val="22"/>
                <w:szCs w:val="22"/>
                <w:lang w:val="lt-LT"/>
              </w:rPr>
            </w:pPr>
          </w:p>
        </w:tc>
        <w:tc>
          <w:tcPr>
            <w:tcW w:w="280" w:type="dxa"/>
          </w:tcPr>
          <w:p w14:paraId="552903BE"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21817182" w14:textId="77777777" w:rsidR="000B0D3C" w:rsidRPr="002C1A71" w:rsidRDefault="000B0D3C" w:rsidP="00AD1393">
            <w:pPr>
              <w:shd w:val="clear" w:color="auto" w:fill="FFFFFF"/>
              <w:spacing w:line="276" w:lineRule="auto"/>
              <w:ind w:right="-27"/>
              <w:jc w:val="both"/>
              <w:rPr>
                <w:rFonts w:ascii="Arial" w:hAnsi="Arial" w:cs="Arial"/>
                <w:sz w:val="22"/>
                <w:szCs w:val="22"/>
                <w:lang w:val="lt-LT"/>
              </w:rPr>
            </w:pPr>
          </w:p>
        </w:tc>
      </w:tr>
    </w:tbl>
    <w:p w14:paraId="3815EEC4" w14:textId="61043372" w:rsidR="007E6BDB" w:rsidRPr="002C1A71" w:rsidRDefault="003C21A6" w:rsidP="003C21A6">
      <w:pPr>
        <w:spacing w:line="276" w:lineRule="auto"/>
        <w:ind w:right="-27"/>
        <w:rPr>
          <w:rFonts w:ascii="Arial" w:hAnsi="Arial" w:cs="Arial"/>
          <w:sz w:val="20"/>
          <w:szCs w:val="20"/>
          <w:lang w:val="lt-LT"/>
        </w:rPr>
      </w:pPr>
      <w:r w:rsidRPr="002C1A71">
        <w:rPr>
          <w:rFonts w:ascii="Arial" w:hAnsi="Arial" w:cs="Arial"/>
          <w:sz w:val="20"/>
          <w:szCs w:val="20"/>
          <w:lang w:val="lt-LT"/>
        </w:rPr>
        <w:t xml:space="preserve">Sutarties rengėjas (TVP): </w:t>
      </w:r>
      <w:r w:rsidR="0009346A" w:rsidRPr="002C1A71">
        <w:rPr>
          <w:rFonts w:ascii="Arial" w:hAnsi="Arial" w:cs="Arial"/>
          <w:sz w:val="20"/>
          <w:szCs w:val="20"/>
          <w:lang w:val="lt-LT"/>
        </w:rPr>
        <w:t>Mindaugas Bulvydas</w:t>
      </w:r>
      <w:r w:rsidR="007E6BDB" w:rsidRPr="002C1A71">
        <w:rPr>
          <w:rFonts w:ascii="Arial" w:hAnsi="Arial" w:cs="Arial"/>
          <w:sz w:val="20"/>
          <w:szCs w:val="20"/>
          <w:lang w:val="lt-LT"/>
        </w:rPr>
        <w:t xml:space="preserve"> </w:t>
      </w:r>
      <w:r w:rsidR="0009346A" w:rsidRPr="002C1A71">
        <w:rPr>
          <w:rFonts w:ascii="Arial" w:hAnsi="Arial" w:cs="Arial"/>
          <w:sz w:val="20"/>
          <w:szCs w:val="20"/>
          <w:lang w:val="lt-LT"/>
        </w:rPr>
        <w:t>+370 66940479</w:t>
      </w:r>
      <w:r w:rsidR="007E6BDB" w:rsidRPr="002C1A71">
        <w:rPr>
          <w:rFonts w:ascii="Arial" w:hAnsi="Arial" w:cs="Arial"/>
          <w:sz w:val="20"/>
          <w:szCs w:val="20"/>
          <w:lang w:val="lt-LT"/>
        </w:rPr>
        <w:t xml:space="preserve">, </w:t>
      </w:r>
      <w:proofErr w:type="spellStart"/>
      <w:r w:rsidR="007E6BDB" w:rsidRPr="002C1A71">
        <w:rPr>
          <w:rFonts w:ascii="Arial" w:hAnsi="Arial" w:cs="Arial"/>
          <w:sz w:val="20"/>
          <w:szCs w:val="20"/>
          <w:lang w:val="lt-LT"/>
        </w:rPr>
        <w:t>el.p</w:t>
      </w:r>
      <w:proofErr w:type="spellEnd"/>
      <w:r w:rsidR="007E6BDB" w:rsidRPr="002C1A71">
        <w:rPr>
          <w:rFonts w:ascii="Arial" w:hAnsi="Arial" w:cs="Arial"/>
          <w:sz w:val="20"/>
          <w:szCs w:val="20"/>
          <w:lang w:val="lt-LT"/>
        </w:rPr>
        <w:t xml:space="preserve"> </w:t>
      </w:r>
      <w:r w:rsidR="0009346A" w:rsidRPr="002C1A71">
        <w:rPr>
          <w:rFonts w:ascii="Arial" w:hAnsi="Arial" w:cs="Arial"/>
          <w:sz w:val="20"/>
          <w:szCs w:val="20"/>
          <w:lang w:val="lt-LT"/>
        </w:rPr>
        <w:t>mindaugas.bulvydas</w:t>
      </w:r>
      <w:r w:rsidR="007E6BDB" w:rsidRPr="002C1A71">
        <w:rPr>
          <w:rFonts w:ascii="Arial" w:hAnsi="Arial" w:cs="Arial"/>
          <w:sz w:val="20"/>
          <w:szCs w:val="20"/>
          <w:lang w:val="lt-LT"/>
        </w:rPr>
        <w:t xml:space="preserve">@ltg.lt </w:t>
      </w:r>
    </w:p>
    <w:p w14:paraId="74DFB9A0" w14:textId="064A1D63" w:rsidR="00496C86" w:rsidRPr="002C1A71" w:rsidRDefault="00496C86" w:rsidP="00496C86">
      <w:pPr>
        <w:ind w:left="284" w:right="-27" w:hanging="284"/>
        <w:jc w:val="both"/>
        <w:rPr>
          <w:rFonts w:ascii="Arial" w:hAnsi="Arial" w:cs="Arial"/>
          <w:sz w:val="22"/>
          <w:szCs w:val="22"/>
          <w:lang w:val="lt-LT"/>
        </w:rPr>
      </w:pPr>
    </w:p>
    <w:p w14:paraId="2E832302" w14:textId="77777777" w:rsidR="003108D7" w:rsidRPr="002C1A71" w:rsidRDefault="003108D7" w:rsidP="00496C86">
      <w:pPr>
        <w:ind w:left="284" w:right="-27" w:hanging="284"/>
        <w:jc w:val="both"/>
        <w:rPr>
          <w:rFonts w:ascii="Arial" w:hAnsi="Arial" w:cs="Arial"/>
          <w:sz w:val="22"/>
          <w:szCs w:val="22"/>
          <w:lang w:val="lt-LT"/>
        </w:rPr>
      </w:pPr>
    </w:p>
    <w:p w14:paraId="6D5B496B" w14:textId="77777777" w:rsidR="00B059ED" w:rsidRPr="002C1A71" w:rsidRDefault="00B059ED" w:rsidP="00496C86">
      <w:pPr>
        <w:ind w:left="284" w:right="-27" w:hanging="284"/>
        <w:jc w:val="both"/>
        <w:rPr>
          <w:rFonts w:ascii="Arial" w:hAnsi="Arial" w:cs="Arial"/>
          <w:sz w:val="22"/>
          <w:szCs w:val="22"/>
          <w:lang w:val="lt-LT"/>
        </w:rPr>
      </w:pPr>
    </w:p>
    <w:p w14:paraId="356CA85E" w14:textId="77777777" w:rsidR="003108D7" w:rsidRPr="002C1A71" w:rsidRDefault="003108D7" w:rsidP="00496C86">
      <w:pPr>
        <w:ind w:left="284" w:right="-27" w:hanging="284"/>
        <w:jc w:val="both"/>
        <w:rPr>
          <w:rFonts w:ascii="Arial" w:hAnsi="Arial" w:cs="Arial"/>
          <w:sz w:val="22"/>
          <w:szCs w:val="22"/>
          <w:lang w:val="lt-LT"/>
        </w:rPr>
      </w:pPr>
    </w:p>
    <w:p w14:paraId="45E11B79" w14:textId="77777777" w:rsidR="00E71A39" w:rsidRPr="002C1A71" w:rsidRDefault="00E71A39" w:rsidP="00E71A39">
      <w:pPr>
        <w:shd w:val="clear" w:color="auto" w:fill="FFFFFF"/>
        <w:spacing w:line="223" w:lineRule="auto"/>
        <w:ind w:left="284" w:right="-27" w:hanging="284"/>
        <w:jc w:val="right"/>
        <w:rPr>
          <w:rFonts w:ascii="Arial" w:hAnsi="Arial" w:cs="Arial"/>
          <w:b/>
          <w:sz w:val="22"/>
          <w:szCs w:val="22"/>
          <w:lang w:val="lt-LT"/>
        </w:rPr>
      </w:pPr>
      <w:r w:rsidRPr="002C1A71">
        <w:rPr>
          <w:rFonts w:ascii="Arial" w:hAnsi="Arial" w:cs="Arial"/>
          <w:b/>
          <w:sz w:val="22"/>
          <w:szCs w:val="22"/>
          <w:lang w:val="lt-LT"/>
        </w:rPr>
        <w:t>Sutarties priedas Nr. 1</w:t>
      </w:r>
    </w:p>
    <w:p w14:paraId="67E7BD9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 xml:space="preserve">PARDUODAMO METALŲ LAUŽO RŪŠYS, KIEKIAI, SANDELIAVIMO VIETOS IR UŽ ATLIEKŲ PRIDAVIMĄ </w:t>
      </w:r>
    </w:p>
    <w:p w14:paraId="0556964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ATSAKINGI DARBUOTOJAI</w:t>
      </w:r>
    </w:p>
    <w:p w14:paraId="65D06DE5" w14:textId="77777777" w:rsidR="00E71A39" w:rsidRPr="002C1A71" w:rsidRDefault="00E71A39" w:rsidP="00E71A39">
      <w:pPr>
        <w:shd w:val="clear" w:color="auto" w:fill="FFFFFF"/>
        <w:ind w:right="-27"/>
        <w:rPr>
          <w:rFonts w:ascii="Arial" w:hAnsi="Arial" w:cs="Arial"/>
          <w:sz w:val="22"/>
          <w:szCs w:val="22"/>
          <w:lang w:val="lt-LT"/>
        </w:rPr>
      </w:pPr>
    </w:p>
    <w:p w14:paraId="0814E24E" w14:textId="77777777" w:rsidR="00E71A39" w:rsidRPr="002C1A71"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2C1A71" w14:paraId="1F5CE69E" w14:textId="77777777" w:rsidTr="00EB1A73">
        <w:trPr>
          <w:cantSplit/>
          <w:trHeight w:val="728"/>
        </w:trPr>
        <w:tc>
          <w:tcPr>
            <w:tcW w:w="967" w:type="dxa"/>
            <w:tcBorders>
              <w:top w:val="single" w:sz="8" w:space="0" w:color="auto"/>
            </w:tcBorders>
            <w:vAlign w:val="center"/>
          </w:tcPr>
          <w:p w14:paraId="243A8455" w14:textId="77777777" w:rsidR="00E71A39" w:rsidRPr="002C1A71" w:rsidRDefault="00E71A39" w:rsidP="00211073">
            <w:pPr>
              <w:tabs>
                <w:tab w:val="left" w:pos="0"/>
              </w:tabs>
              <w:ind w:right="-27"/>
              <w:rPr>
                <w:rFonts w:ascii="Arial" w:hAnsi="Arial" w:cs="Arial"/>
                <w:sz w:val="22"/>
                <w:szCs w:val="22"/>
                <w:lang w:val="lt-LT"/>
              </w:rPr>
            </w:pPr>
            <w:r w:rsidRPr="002C1A71">
              <w:rPr>
                <w:rFonts w:ascii="Arial" w:hAnsi="Arial" w:cs="Arial"/>
                <w:sz w:val="22"/>
                <w:szCs w:val="22"/>
                <w:lang w:val="lt-LT"/>
              </w:rPr>
              <w:t>Eil.</w:t>
            </w:r>
          </w:p>
          <w:p w14:paraId="73F37AFB"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2C1A71" w:rsidRDefault="00E71A39" w:rsidP="00211073">
            <w:pPr>
              <w:tabs>
                <w:tab w:val="left" w:pos="0"/>
              </w:tabs>
              <w:ind w:right="-27"/>
              <w:rPr>
                <w:rFonts w:ascii="Arial" w:hAnsi="Arial" w:cs="Arial"/>
                <w:position w:val="6"/>
                <w:sz w:val="22"/>
                <w:szCs w:val="22"/>
                <w:lang w:val="lt-LT"/>
              </w:rPr>
            </w:pPr>
            <w:r w:rsidRPr="002C1A71">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Kiekis, t</w:t>
            </w:r>
          </w:p>
        </w:tc>
      </w:tr>
      <w:tr w:rsidR="003122BC" w:rsidRPr="002C1A71"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3122BC" w:rsidRPr="002C1A71" w:rsidRDefault="003122BC" w:rsidP="003122BC">
            <w:pPr>
              <w:ind w:right="-27"/>
              <w:rPr>
                <w:rFonts w:ascii="Arial" w:hAnsi="Arial" w:cs="Arial"/>
                <w:sz w:val="22"/>
                <w:szCs w:val="22"/>
                <w:lang w:val="lt-LT"/>
              </w:rPr>
            </w:pPr>
            <w:r w:rsidRPr="002C1A71">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4441608B" w:rsidR="003122BC" w:rsidRPr="002C1A71" w:rsidRDefault="003122BC" w:rsidP="003122BC">
            <w:pPr>
              <w:ind w:left="72"/>
              <w:rPr>
                <w:rFonts w:ascii="Arial" w:hAnsi="Arial" w:cs="Arial"/>
                <w:spacing w:val="-8"/>
                <w:sz w:val="22"/>
                <w:szCs w:val="22"/>
                <w:lang w:val="lt-LT"/>
              </w:rPr>
            </w:pPr>
          </w:p>
        </w:tc>
        <w:tc>
          <w:tcPr>
            <w:tcW w:w="4110" w:type="dxa"/>
            <w:tcBorders>
              <w:top w:val="single" w:sz="4" w:space="0" w:color="auto"/>
              <w:left w:val="single" w:sz="4" w:space="0" w:color="auto"/>
              <w:bottom w:val="single" w:sz="4" w:space="0" w:color="auto"/>
              <w:right w:val="single" w:sz="4" w:space="0" w:color="auto"/>
            </w:tcBorders>
            <w:vAlign w:val="center"/>
          </w:tcPr>
          <w:p w14:paraId="19E373C8" w14:textId="7128C603" w:rsidR="003122BC" w:rsidRPr="002C1A71" w:rsidRDefault="003122BC" w:rsidP="003122BC">
            <w:pPr>
              <w:ind w:right="-27"/>
              <w:rPr>
                <w:rFonts w:ascii="Arial" w:hAnsi="Arial" w:cs="Arial"/>
                <w:bCs/>
                <w:sz w:val="22"/>
                <w:szCs w:val="22"/>
                <w:lang w:eastAsia="lt-LT"/>
              </w:rPr>
            </w:pPr>
          </w:p>
        </w:tc>
      </w:tr>
    </w:tbl>
    <w:p w14:paraId="320EE947" w14:textId="77777777" w:rsidR="000E1905" w:rsidRPr="002C1A71" w:rsidRDefault="000E1905" w:rsidP="00E71A39">
      <w:pPr>
        <w:shd w:val="clear" w:color="auto" w:fill="FFFFFF"/>
        <w:ind w:right="-27"/>
        <w:jc w:val="both"/>
        <w:rPr>
          <w:rFonts w:ascii="Arial" w:hAnsi="Arial" w:cs="Arial"/>
          <w:sz w:val="22"/>
          <w:szCs w:val="22"/>
          <w:lang w:val="lt-LT"/>
        </w:rPr>
      </w:pPr>
    </w:p>
    <w:p w14:paraId="5D03C099" w14:textId="67513945"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2C1A71" w:rsidRDefault="00E71A39" w:rsidP="00E71A39">
      <w:pPr>
        <w:shd w:val="clear" w:color="auto" w:fill="FFFFFF"/>
        <w:ind w:right="-27"/>
        <w:jc w:val="both"/>
        <w:rPr>
          <w:rFonts w:ascii="Arial" w:hAnsi="Arial" w:cs="Arial"/>
          <w:sz w:val="22"/>
          <w:szCs w:val="22"/>
          <w:lang w:val="lt-LT"/>
        </w:rPr>
      </w:pPr>
    </w:p>
    <w:p w14:paraId="5554D504" w14:textId="77777777"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2. Metalų laužas bus patiekiamas adresais:</w:t>
      </w:r>
    </w:p>
    <w:tbl>
      <w:tblPr>
        <w:tblW w:w="4959" w:type="pct"/>
        <w:tblLook w:val="04A0" w:firstRow="1" w:lastRow="0" w:firstColumn="1" w:lastColumn="0" w:noHBand="0" w:noVBand="1"/>
      </w:tblPr>
      <w:tblGrid>
        <w:gridCol w:w="1838"/>
        <w:gridCol w:w="1843"/>
        <w:gridCol w:w="3610"/>
        <w:gridCol w:w="2669"/>
      </w:tblGrid>
      <w:tr w:rsidR="00194C3C" w:rsidRPr="002C1A71" w14:paraId="7900945E" w14:textId="77777777" w:rsidTr="00536A45">
        <w:trPr>
          <w:trHeight w:val="1260"/>
        </w:trPr>
        <w:tc>
          <w:tcPr>
            <w:tcW w:w="923" w:type="pct"/>
            <w:tcBorders>
              <w:top w:val="single" w:sz="4" w:space="0" w:color="auto"/>
              <w:left w:val="single" w:sz="4" w:space="0" w:color="auto"/>
              <w:bottom w:val="single" w:sz="4" w:space="0" w:color="auto"/>
              <w:right w:val="single" w:sz="4" w:space="0" w:color="auto"/>
            </w:tcBorders>
            <w:vAlign w:val="center"/>
            <w:hideMark/>
          </w:tcPr>
          <w:p w14:paraId="327CD365" w14:textId="56B7F2EF" w:rsidR="00194C3C" w:rsidRPr="002C1A71" w:rsidRDefault="00194C3C" w:rsidP="00194C3C">
            <w:pPr>
              <w:rPr>
                <w:rFonts w:ascii="Arial" w:hAnsi="Arial" w:cs="Arial"/>
                <w:sz w:val="22"/>
                <w:szCs w:val="22"/>
                <w:lang w:val="lt-LT" w:eastAsia="lt-LT"/>
              </w:rPr>
            </w:pPr>
            <w:r w:rsidRPr="002C1A71">
              <w:rPr>
                <w:rFonts w:ascii="Arial" w:hAnsi="Arial" w:cs="Arial"/>
                <w:sz w:val="22"/>
                <w:szCs w:val="22"/>
                <w:lang w:val="lt-LT"/>
              </w:rPr>
              <w:lastRenderedPageBreak/>
              <w:t>Preliminarus Laužo kiekis tonomis</w:t>
            </w:r>
          </w:p>
        </w:tc>
        <w:tc>
          <w:tcPr>
            <w:tcW w:w="925" w:type="pct"/>
            <w:tcBorders>
              <w:top w:val="single" w:sz="4" w:space="0" w:color="auto"/>
              <w:left w:val="nil"/>
              <w:bottom w:val="single" w:sz="4" w:space="0" w:color="auto"/>
              <w:right w:val="single" w:sz="4" w:space="0" w:color="auto"/>
            </w:tcBorders>
            <w:vAlign w:val="center"/>
          </w:tcPr>
          <w:p w14:paraId="79C69477" w14:textId="2A4CE123"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Laužo atsiėmimo stotis, adresas</w:t>
            </w:r>
          </w:p>
        </w:tc>
        <w:tc>
          <w:tcPr>
            <w:tcW w:w="1812" w:type="pct"/>
            <w:tcBorders>
              <w:top w:val="single" w:sz="4" w:space="0" w:color="auto"/>
              <w:left w:val="nil"/>
              <w:bottom w:val="single" w:sz="4" w:space="0" w:color="auto"/>
              <w:right w:val="single" w:sz="4" w:space="0" w:color="auto"/>
            </w:tcBorders>
            <w:vAlign w:val="center"/>
            <w:hideMark/>
          </w:tcPr>
          <w:p w14:paraId="523AA412"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Už metalo laužo pridavimą atsakingas darbuotojas</w:t>
            </w:r>
          </w:p>
        </w:tc>
        <w:tc>
          <w:tcPr>
            <w:tcW w:w="1340" w:type="pct"/>
            <w:tcBorders>
              <w:top w:val="single" w:sz="4" w:space="0" w:color="auto"/>
              <w:left w:val="nil"/>
              <w:bottom w:val="single" w:sz="4" w:space="0" w:color="auto"/>
              <w:right w:val="single" w:sz="4" w:space="0" w:color="auto"/>
            </w:tcBorders>
            <w:vAlign w:val="center"/>
            <w:hideMark/>
          </w:tcPr>
          <w:p w14:paraId="2EB536B5"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Papildoma informacija</w:t>
            </w:r>
          </w:p>
        </w:tc>
      </w:tr>
      <w:tr w:rsidR="00DB56D8" w:rsidRPr="002C1A71" w14:paraId="3429E6D1" w14:textId="77777777" w:rsidTr="00DB56D8">
        <w:trPr>
          <w:trHeight w:val="1575"/>
        </w:trPr>
        <w:tc>
          <w:tcPr>
            <w:tcW w:w="923" w:type="pct"/>
            <w:tcBorders>
              <w:top w:val="single" w:sz="4" w:space="0" w:color="auto"/>
              <w:left w:val="single" w:sz="4" w:space="0" w:color="auto"/>
              <w:bottom w:val="single" w:sz="4" w:space="0" w:color="auto"/>
              <w:right w:val="single" w:sz="4" w:space="0" w:color="auto"/>
            </w:tcBorders>
            <w:vAlign w:val="center"/>
          </w:tcPr>
          <w:p w14:paraId="2648D974" w14:textId="71360CB9" w:rsidR="00DB56D8" w:rsidRPr="002C1A71" w:rsidRDefault="00DB56D8" w:rsidP="00DB56D8">
            <w:pPr>
              <w:jc w:val="center"/>
              <w:rPr>
                <w:rFonts w:ascii="Arial" w:hAnsi="Arial" w:cs="Arial"/>
                <w:sz w:val="22"/>
                <w:szCs w:val="22"/>
              </w:rPr>
            </w:pPr>
          </w:p>
        </w:tc>
        <w:tc>
          <w:tcPr>
            <w:tcW w:w="925" w:type="pct"/>
            <w:tcBorders>
              <w:top w:val="single" w:sz="4" w:space="0" w:color="auto"/>
              <w:left w:val="nil"/>
              <w:bottom w:val="single" w:sz="4" w:space="0" w:color="auto"/>
              <w:right w:val="single" w:sz="4" w:space="0" w:color="auto"/>
            </w:tcBorders>
            <w:vAlign w:val="center"/>
          </w:tcPr>
          <w:p w14:paraId="53CB01FE" w14:textId="3FBDD084" w:rsidR="00DB56D8" w:rsidRPr="002C1A71" w:rsidRDefault="00DB56D8" w:rsidP="00DB56D8">
            <w:pPr>
              <w:jc w:val="center"/>
              <w:rPr>
                <w:rFonts w:ascii="Arial" w:hAnsi="Arial" w:cs="Arial"/>
                <w:sz w:val="22"/>
                <w:szCs w:val="22"/>
                <w:lang w:eastAsia="lt-LT"/>
              </w:rPr>
            </w:pPr>
          </w:p>
        </w:tc>
        <w:tc>
          <w:tcPr>
            <w:tcW w:w="1812" w:type="pct"/>
            <w:tcBorders>
              <w:top w:val="single" w:sz="4" w:space="0" w:color="auto"/>
              <w:left w:val="nil"/>
              <w:bottom w:val="single" w:sz="4" w:space="0" w:color="auto"/>
              <w:right w:val="single" w:sz="4" w:space="0" w:color="auto"/>
            </w:tcBorders>
            <w:vAlign w:val="center"/>
          </w:tcPr>
          <w:p w14:paraId="771076D0" w14:textId="419301EE" w:rsidR="00DB56D8" w:rsidRPr="00DB56D8" w:rsidRDefault="00DB56D8" w:rsidP="00DB56D8">
            <w:pPr>
              <w:jc w:val="center"/>
              <w:rPr>
                <w:rFonts w:ascii="Arial" w:hAnsi="Arial" w:cs="Arial"/>
                <w:sz w:val="22"/>
                <w:szCs w:val="22"/>
                <w:lang w:eastAsia="lt-LT"/>
              </w:rPr>
            </w:pPr>
          </w:p>
        </w:tc>
        <w:tc>
          <w:tcPr>
            <w:tcW w:w="1340" w:type="pct"/>
            <w:tcBorders>
              <w:top w:val="single" w:sz="4" w:space="0" w:color="auto"/>
              <w:left w:val="nil"/>
              <w:bottom w:val="single" w:sz="4" w:space="0" w:color="auto"/>
              <w:right w:val="single" w:sz="4" w:space="0" w:color="auto"/>
            </w:tcBorders>
            <w:vAlign w:val="center"/>
            <w:hideMark/>
          </w:tcPr>
          <w:p w14:paraId="4DAAFFF3" w14:textId="6BD309F7" w:rsidR="00DB56D8" w:rsidRPr="002C1A71" w:rsidRDefault="00DB56D8" w:rsidP="00DB56D8">
            <w:pPr>
              <w:jc w:val="center"/>
              <w:rPr>
                <w:rFonts w:ascii="Arial" w:hAnsi="Arial" w:cs="Arial"/>
                <w:sz w:val="22"/>
                <w:szCs w:val="22"/>
                <w:lang w:val="lt-LT"/>
              </w:rPr>
            </w:pPr>
            <w:r w:rsidRPr="002C1A71">
              <w:rPr>
                <w:rFonts w:ascii="Arial" w:hAnsi="Arial" w:cs="Arial"/>
                <w:sz w:val="22"/>
                <w:szCs w:val="22"/>
                <w:lang w:val="lt-LT"/>
              </w:rPr>
              <w:t>Pirkėjas turės galimyb</w:t>
            </w:r>
            <w:r>
              <w:rPr>
                <w:rFonts w:ascii="Arial" w:hAnsi="Arial" w:cs="Arial"/>
                <w:sz w:val="22"/>
                <w:szCs w:val="22"/>
                <w:lang w:val="lt-LT"/>
              </w:rPr>
              <w:t>ę</w:t>
            </w:r>
            <w:r w:rsidRPr="002C1A71">
              <w:rPr>
                <w:rFonts w:ascii="Arial" w:hAnsi="Arial" w:cs="Arial"/>
                <w:sz w:val="22"/>
                <w:szCs w:val="22"/>
                <w:lang w:val="lt-LT"/>
              </w:rPr>
              <w:t xml:space="preserve"> prie metalo laužo privažiuoti autotransportu. Dėl kitų klausimų kreiptis nurodytu kontaktu.</w:t>
            </w:r>
          </w:p>
        </w:tc>
      </w:tr>
    </w:tbl>
    <w:p w14:paraId="217C865D" w14:textId="77777777" w:rsidR="00E71A39" w:rsidRPr="002C1A71" w:rsidRDefault="00E71A39" w:rsidP="00E71A39">
      <w:pPr>
        <w:shd w:val="clear" w:color="auto" w:fill="FFFFFF"/>
        <w:ind w:right="-27"/>
        <w:rPr>
          <w:rFonts w:ascii="Arial" w:hAnsi="Arial" w:cs="Arial"/>
          <w:sz w:val="22"/>
          <w:szCs w:val="22"/>
          <w:lang w:val="lt-LT"/>
        </w:rPr>
      </w:pPr>
    </w:p>
    <w:p w14:paraId="1F2460EC" w14:textId="77777777" w:rsidR="00A9311F" w:rsidRPr="002C1A71" w:rsidRDefault="00A9311F" w:rsidP="00E71A39">
      <w:pPr>
        <w:shd w:val="clear" w:color="auto" w:fill="FFFFFF"/>
        <w:ind w:right="-27"/>
        <w:rPr>
          <w:rFonts w:ascii="Arial" w:hAnsi="Arial" w:cs="Arial"/>
          <w:sz w:val="22"/>
          <w:szCs w:val="22"/>
          <w:lang w:val="lt-LT"/>
        </w:rPr>
      </w:pPr>
    </w:p>
    <w:p w14:paraId="34AD32C5" w14:textId="51A70B96" w:rsidR="00A9311F" w:rsidRPr="002C1A71" w:rsidRDefault="00A9311F">
      <w:pPr>
        <w:rPr>
          <w:rFonts w:ascii="Arial" w:hAnsi="Arial" w:cs="Arial"/>
          <w:sz w:val="22"/>
          <w:szCs w:val="22"/>
          <w:lang w:val="lt-LT"/>
        </w:rPr>
      </w:pPr>
      <w:r w:rsidRPr="002C1A71">
        <w:rPr>
          <w:rFonts w:ascii="Arial" w:hAnsi="Arial" w:cs="Arial"/>
          <w:sz w:val="22"/>
          <w:szCs w:val="22"/>
          <w:lang w:val="lt-LT"/>
        </w:rPr>
        <w:br w:type="page"/>
      </w:r>
    </w:p>
    <w:p w14:paraId="4D2BF807" w14:textId="77777777" w:rsidR="001D5FFC" w:rsidRPr="002C1A71" w:rsidRDefault="001D5FFC" w:rsidP="00E518F4">
      <w:pPr>
        <w:rPr>
          <w:rFonts w:ascii="Arial" w:hAnsi="Arial" w:cs="Arial"/>
          <w:sz w:val="22"/>
          <w:szCs w:val="22"/>
          <w:lang w:val="lt-LT"/>
        </w:rPr>
        <w:sectPr w:rsidR="001D5FFC" w:rsidRPr="002C1A71" w:rsidSect="00F67DAB">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009" w:left="720" w:header="561" w:footer="561" w:gutter="0"/>
          <w:pgNumType w:start="1"/>
          <w:cols w:space="1296"/>
          <w:titlePg/>
          <w:docGrid w:linePitch="360"/>
        </w:sectPr>
      </w:pPr>
    </w:p>
    <w:p w14:paraId="73817000" w14:textId="57C8CB4C" w:rsidR="00E518F4" w:rsidRPr="002C1A71" w:rsidRDefault="00E518F4" w:rsidP="00E518F4">
      <w:pPr>
        <w:rPr>
          <w:rFonts w:ascii="Arial" w:hAnsi="Arial" w:cs="Arial"/>
          <w:sz w:val="22"/>
          <w:szCs w:val="22"/>
          <w:lang w:val="lt-LT"/>
        </w:rPr>
      </w:pPr>
    </w:p>
    <w:p w14:paraId="47B2B84B" w14:textId="77777777" w:rsidR="00E518F4" w:rsidRPr="002C1A71"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2C1A71" w14:paraId="5DC24134" w14:textId="77777777" w:rsidTr="00822BF0">
        <w:trPr>
          <w:trHeight w:val="575"/>
        </w:trPr>
        <w:tc>
          <w:tcPr>
            <w:tcW w:w="15228" w:type="dxa"/>
            <w:gridSpan w:val="12"/>
            <w:tcBorders>
              <w:top w:val="nil"/>
              <w:left w:val="nil"/>
              <w:bottom w:val="nil"/>
              <w:right w:val="nil"/>
            </w:tcBorders>
            <w:noWrap/>
            <w:vAlign w:val="center"/>
            <w:hideMark/>
          </w:tcPr>
          <w:p w14:paraId="2E54FEAC" w14:textId="77777777" w:rsidR="00822BF0" w:rsidRPr="002C1A71" w:rsidRDefault="00E518F4" w:rsidP="00822BF0">
            <w:pPr>
              <w:shd w:val="clear" w:color="auto" w:fill="FFFFFF"/>
              <w:spacing w:line="223" w:lineRule="auto"/>
              <w:ind w:left="-357" w:firstLine="539"/>
              <w:jc w:val="right"/>
              <w:rPr>
                <w:rFonts w:ascii="Arial" w:hAnsi="Arial" w:cs="Arial"/>
                <w:b/>
                <w:sz w:val="22"/>
                <w:szCs w:val="22"/>
                <w:lang w:val="lt-LT"/>
              </w:rPr>
            </w:pPr>
            <w:r w:rsidRPr="002C1A71">
              <w:rPr>
                <w:rFonts w:ascii="Arial" w:hAnsi="Arial" w:cs="Arial"/>
                <w:sz w:val="22"/>
                <w:szCs w:val="22"/>
                <w:lang w:val="lt-LT"/>
              </w:rPr>
              <w:tab/>
            </w:r>
            <w:r w:rsidR="00822BF0" w:rsidRPr="002C1A71">
              <w:rPr>
                <w:rFonts w:ascii="Arial" w:hAnsi="Arial" w:cs="Arial"/>
                <w:b/>
                <w:sz w:val="22"/>
                <w:szCs w:val="22"/>
                <w:lang w:val="lt-LT"/>
              </w:rPr>
              <w:t>Sutarties priedas Nr. 2</w:t>
            </w:r>
          </w:p>
          <w:p w14:paraId="0DBAD5C5" w14:textId="77777777" w:rsidR="00822BF0" w:rsidRPr="002C1A71" w:rsidRDefault="00822BF0" w:rsidP="00822BF0">
            <w:pPr>
              <w:jc w:val="right"/>
              <w:rPr>
                <w:rFonts w:ascii="Arial" w:hAnsi="Arial" w:cs="Arial"/>
                <w:b/>
                <w:bCs/>
                <w:sz w:val="22"/>
                <w:szCs w:val="22"/>
                <w:lang w:val="lt-LT"/>
              </w:rPr>
            </w:pPr>
          </w:p>
          <w:p w14:paraId="53A78C6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METALŲ LAUŽO PERDAVIMO AKTAS</w:t>
            </w:r>
          </w:p>
        </w:tc>
      </w:tr>
      <w:tr w:rsidR="00D84D77" w:rsidRPr="002C1A71" w14:paraId="0B9BD0EA" w14:textId="77777777" w:rsidTr="00822BF0">
        <w:trPr>
          <w:trHeight w:val="575"/>
        </w:trPr>
        <w:tc>
          <w:tcPr>
            <w:tcW w:w="15228" w:type="dxa"/>
            <w:gridSpan w:val="12"/>
            <w:tcBorders>
              <w:top w:val="nil"/>
              <w:left w:val="nil"/>
              <w:bottom w:val="nil"/>
              <w:right w:val="nil"/>
            </w:tcBorders>
            <w:noWrap/>
            <w:vAlign w:val="center"/>
            <w:hideMark/>
          </w:tcPr>
          <w:p w14:paraId="004C566A" w14:textId="77777777" w:rsidR="00822BF0" w:rsidRPr="002C1A71" w:rsidRDefault="00822BF0">
            <w:pPr>
              <w:jc w:val="center"/>
              <w:rPr>
                <w:rFonts w:ascii="Arial" w:hAnsi="Arial" w:cs="Arial"/>
                <w:sz w:val="22"/>
                <w:szCs w:val="22"/>
                <w:lang w:val="lt-LT"/>
              </w:rPr>
            </w:pPr>
            <w:r w:rsidRPr="002C1A71">
              <w:rPr>
                <w:rFonts w:ascii="Arial" w:hAnsi="Arial" w:cs="Arial"/>
                <w:b/>
                <w:bCs/>
                <w:sz w:val="22"/>
                <w:szCs w:val="22"/>
                <w:lang w:val="lt-LT"/>
              </w:rPr>
              <w:t>20    m. ……………………….   d</w:t>
            </w:r>
            <w:r w:rsidRPr="002C1A71">
              <w:rPr>
                <w:rFonts w:ascii="Arial" w:hAnsi="Arial" w:cs="Arial"/>
                <w:sz w:val="22"/>
                <w:szCs w:val="22"/>
                <w:lang w:val="lt-LT"/>
              </w:rPr>
              <w:t>. Nr. …………..</w:t>
            </w:r>
          </w:p>
        </w:tc>
      </w:tr>
      <w:tr w:rsidR="00D84D77" w:rsidRPr="002C1A71" w14:paraId="6A6C2297" w14:textId="77777777" w:rsidTr="00822BF0">
        <w:trPr>
          <w:trHeight w:val="920"/>
        </w:trPr>
        <w:tc>
          <w:tcPr>
            <w:tcW w:w="15228" w:type="dxa"/>
            <w:gridSpan w:val="12"/>
            <w:tcBorders>
              <w:top w:val="nil"/>
              <w:left w:val="nil"/>
              <w:bottom w:val="nil"/>
              <w:right w:val="nil"/>
            </w:tcBorders>
            <w:noWrap/>
            <w:vAlign w:val="center"/>
            <w:hideMark/>
          </w:tcPr>
          <w:p w14:paraId="73AA6185" w14:textId="5EFBE928" w:rsidR="00822BF0" w:rsidRPr="002C1A71" w:rsidRDefault="00822BF0" w:rsidP="002A53DF">
            <w:pPr>
              <w:jc w:val="center"/>
              <w:rPr>
                <w:rFonts w:ascii="Arial" w:hAnsi="Arial" w:cs="Arial"/>
                <w:sz w:val="22"/>
                <w:szCs w:val="22"/>
                <w:lang w:val="lt-LT"/>
              </w:rPr>
            </w:pPr>
            <w:r w:rsidRPr="002C1A71">
              <w:rPr>
                <w:rFonts w:ascii="Arial" w:hAnsi="Arial" w:cs="Arial"/>
                <w:sz w:val="22"/>
                <w:szCs w:val="22"/>
                <w:lang w:val="lt-LT"/>
              </w:rPr>
              <w:t xml:space="preserve">Komisija, dalyvaujant ……………………………... atstovui _________________________ ir </w:t>
            </w:r>
            <w:r w:rsidR="004956C1" w:rsidRPr="002C1A71">
              <w:rPr>
                <w:rFonts w:ascii="Arial" w:hAnsi="Arial" w:cs="Arial"/>
                <w:color w:val="000000"/>
                <w:sz w:val="22"/>
                <w:szCs w:val="22"/>
                <w:lang w:val="lt-LT"/>
              </w:rPr>
              <w:t xml:space="preserve">      </w:t>
            </w:r>
            <w:r w:rsidRPr="002C1A71">
              <w:rPr>
                <w:rFonts w:ascii="Arial" w:hAnsi="Arial" w:cs="Arial"/>
                <w:sz w:val="22"/>
                <w:szCs w:val="22"/>
                <w:lang w:val="lt-LT"/>
              </w:rPr>
              <w:t>……………………………….. atstovui</w:t>
            </w:r>
          </w:p>
        </w:tc>
      </w:tr>
      <w:tr w:rsidR="00D84D77" w:rsidRPr="002C1A71" w14:paraId="019F8EDE" w14:textId="77777777" w:rsidTr="00822BF0">
        <w:trPr>
          <w:trHeight w:val="603"/>
        </w:trPr>
        <w:tc>
          <w:tcPr>
            <w:tcW w:w="15228" w:type="dxa"/>
            <w:gridSpan w:val="12"/>
            <w:tcBorders>
              <w:top w:val="nil"/>
              <w:left w:val="nil"/>
              <w:bottom w:val="nil"/>
              <w:right w:val="nil"/>
            </w:tcBorders>
            <w:vAlign w:val="bottom"/>
            <w:hideMark/>
          </w:tcPr>
          <w:p w14:paraId="5177F284" w14:textId="77777777" w:rsidR="00822BF0" w:rsidRPr="002C1A71" w:rsidRDefault="00822BF0" w:rsidP="00556C63">
            <w:pPr>
              <w:jc w:val="both"/>
              <w:rPr>
                <w:rFonts w:ascii="Arial" w:hAnsi="Arial" w:cs="Arial"/>
                <w:sz w:val="22"/>
                <w:szCs w:val="22"/>
                <w:lang w:val="lt-LT"/>
              </w:rPr>
            </w:pPr>
            <w:r w:rsidRPr="002C1A71">
              <w:rPr>
                <w:rFonts w:ascii="Arial" w:hAnsi="Arial" w:cs="Arial"/>
                <w:sz w:val="22"/>
                <w:szCs w:val="22"/>
                <w:lang w:val="lt-LT"/>
              </w:rPr>
              <w:t>……………………………………………….. surašė šį aktą remiantis 20    m. …………</w:t>
            </w:r>
            <w:r w:rsidR="00556C63" w:rsidRPr="002C1A71">
              <w:rPr>
                <w:rFonts w:ascii="Arial" w:hAnsi="Arial" w:cs="Arial"/>
                <w:sz w:val="22"/>
                <w:szCs w:val="22"/>
                <w:lang w:val="lt-LT"/>
              </w:rPr>
              <w:t>………………...</w:t>
            </w:r>
            <w:r w:rsidRPr="002C1A71">
              <w:rPr>
                <w:rFonts w:ascii="Arial" w:hAnsi="Arial" w:cs="Arial"/>
                <w:sz w:val="22"/>
                <w:szCs w:val="22"/>
                <w:lang w:val="lt-LT"/>
              </w:rPr>
              <w:t xml:space="preserve"> metalų laužo pirkimo – pardavimo sutartimi Nr.</w:t>
            </w:r>
            <w:r w:rsidR="000F02EC" w:rsidRPr="002C1A71">
              <w:rPr>
                <w:rFonts w:ascii="Arial" w:hAnsi="Arial" w:cs="Arial"/>
                <w:sz w:val="22"/>
                <w:szCs w:val="22"/>
                <w:lang w:val="lt-LT"/>
              </w:rPr>
              <w:t> </w:t>
            </w:r>
            <w:r w:rsidRPr="002C1A71">
              <w:rPr>
                <w:rFonts w:ascii="Arial" w:hAnsi="Arial" w:cs="Arial"/>
                <w:sz w:val="22"/>
                <w:szCs w:val="22"/>
                <w:lang w:val="lt-LT"/>
              </w:rPr>
              <w:t xml:space="preserve"> …………….</w:t>
            </w:r>
          </w:p>
        </w:tc>
      </w:tr>
      <w:tr w:rsidR="00D84D77" w:rsidRPr="002C1A71" w14:paraId="0F4FCE08" w14:textId="77777777" w:rsidTr="007E0AF2">
        <w:trPr>
          <w:trHeight w:val="431"/>
        </w:trPr>
        <w:tc>
          <w:tcPr>
            <w:tcW w:w="567" w:type="dxa"/>
            <w:tcBorders>
              <w:top w:val="nil"/>
              <w:left w:val="nil"/>
              <w:bottom w:val="single" w:sz="4" w:space="0" w:color="auto"/>
              <w:right w:val="nil"/>
            </w:tcBorders>
            <w:vAlign w:val="center"/>
            <w:hideMark/>
          </w:tcPr>
          <w:p w14:paraId="6138971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51" w:type="dxa"/>
            <w:tcBorders>
              <w:top w:val="nil"/>
              <w:left w:val="nil"/>
              <w:bottom w:val="single" w:sz="4" w:space="0" w:color="auto"/>
              <w:right w:val="nil"/>
            </w:tcBorders>
            <w:vAlign w:val="center"/>
            <w:hideMark/>
          </w:tcPr>
          <w:p w14:paraId="530A23C7"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470B725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52" w:type="dxa"/>
            <w:tcBorders>
              <w:top w:val="nil"/>
              <w:left w:val="nil"/>
              <w:bottom w:val="single" w:sz="4" w:space="0" w:color="auto"/>
              <w:right w:val="nil"/>
            </w:tcBorders>
            <w:vAlign w:val="center"/>
            <w:hideMark/>
          </w:tcPr>
          <w:p w14:paraId="1D2E66C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nil"/>
            </w:tcBorders>
            <w:vAlign w:val="center"/>
            <w:hideMark/>
          </w:tcPr>
          <w:p w14:paraId="18297460"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84" w:type="dxa"/>
            <w:tcBorders>
              <w:top w:val="nil"/>
              <w:left w:val="nil"/>
              <w:bottom w:val="single" w:sz="4" w:space="0" w:color="auto"/>
              <w:right w:val="nil"/>
            </w:tcBorders>
            <w:vAlign w:val="center"/>
            <w:hideMark/>
          </w:tcPr>
          <w:p w14:paraId="0962546E"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101" w:type="dxa"/>
            <w:tcBorders>
              <w:top w:val="nil"/>
              <w:left w:val="nil"/>
              <w:bottom w:val="single" w:sz="4" w:space="0" w:color="auto"/>
              <w:right w:val="nil"/>
            </w:tcBorders>
            <w:vAlign w:val="center"/>
            <w:hideMark/>
          </w:tcPr>
          <w:p w14:paraId="1C4DB35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6BE6C17C"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nil"/>
            </w:tcBorders>
            <w:vAlign w:val="center"/>
            <w:hideMark/>
          </w:tcPr>
          <w:p w14:paraId="0E99B5E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vAlign w:val="center"/>
            <w:hideMark/>
          </w:tcPr>
          <w:p w14:paraId="39E4EC9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single" w:sz="4" w:space="0" w:color="auto"/>
              <w:right w:val="nil"/>
            </w:tcBorders>
            <w:vAlign w:val="center"/>
            <w:hideMark/>
          </w:tcPr>
          <w:p w14:paraId="1E5505C5"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17" w:type="dxa"/>
            <w:tcBorders>
              <w:top w:val="nil"/>
              <w:left w:val="nil"/>
              <w:bottom w:val="single" w:sz="4" w:space="0" w:color="auto"/>
              <w:right w:val="nil"/>
            </w:tcBorders>
            <w:vAlign w:val="center"/>
            <w:hideMark/>
          </w:tcPr>
          <w:p w14:paraId="3ECB10C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r>
      <w:tr w:rsidR="00D84D77" w:rsidRPr="002C1A71"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vAlign w:val="center"/>
            <w:hideMark/>
          </w:tcPr>
          <w:p w14:paraId="039FC8AD"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vAlign w:val="center"/>
            <w:hideMark/>
          </w:tcPr>
          <w:p w14:paraId="23E2381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vAlign w:val="center"/>
            <w:hideMark/>
          </w:tcPr>
          <w:p w14:paraId="388DA5E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vAlign w:val="center"/>
            <w:hideMark/>
          </w:tcPr>
          <w:p w14:paraId="2D21DAC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vAlign w:val="center"/>
            <w:hideMark/>
          </w:tcPr>
          <w:p w14:paraId="06D281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vAlign w:val="center"/>
            <w:hideMark/>
          </w:tcPr>
          <w:p w14:paraId="54B4306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Apmokėti</w:t>
            </w:r>
          </w:p>
        </w:tc>
      </w:tr>
      <w:tr w:rsidR="00D84D77" w:rsidRPr="002C1A71"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2C1A71"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vAlign w:val="center"/>
            <w:hideMark/>
          </w:tcPr>
          <w:p w14:paraId="740824E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markė</w:t>
            </w:r>
          </w:p>
        </w:tc>
        <w:tc>
          <w:tcPr>
            <w:tcW w:w="1417" w:type="dxa"/>
            <w:tcBorders>
              <w:top w:val="nil"/>
              <w:left w:val="nil"/>
              <w:bottom w:val="single" w:sz="4" w:space="0" w:color="auto"/>
              <w:right w:val="single" w:sz="4" w:space="0" w:color="auto"/>
            </w:tcBorders>
            <w:vAlign w:val="center"/>
            <w:hideMark/>
          </w:tcPr>
          <w:p w14:paraId="777C7E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2C1A71"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vAlign w:val="center"/>
            <w:hideMark/>
          </w:tcPr>
          <w:p w14:paraId="6AE10B5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vAlign w:val="center"/>
            <w:hideMark/>
          </w:tcPr>
          <w:p w14:paraId="567DC6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101" w:type="dxa"/>
            <w:tcBorders>
              <w:top w:val="nil"/>
              <w:left w:val="nil"/>
              <w:bottom w:val="single" w:sz="4" w:space="0" w:color="auto"/>
              <w:right w:val="single" w:sz="4" w:space="0" w:color="auto"/>
            </w:tcBorders>
            <w:vAlign w:val="center"/>
            <w:hideMark/>
          </w:tcPr>
          <w:p w14:paraId="322A780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Bruto</w:t>
            </w:r>
          </w:p>
        </w:tc>
        <w:tc>
          <w:tcPr>
            <w:tcW w:w="1417" w:type="dxa"/>
            <w:tcBorders>
              <w:top w:val="nil"/>
              <w:left w:val="nil"/>
              <w:bottom w:val="single" w:sz="4" w:space="0" w:color="auto"/>
              <w:right w:val="single" w:sz="4" w:space="0" w:color="auto"/>
            </w:tcBorders>
            <w:vAlign w:val="center"/>
            <w:hideMark/>
          </w:tcPr>
          <w:p w14:paraId="224AD5D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vAlign w:val="center"/>
            <w:hideMark/>
          </w:tcPr>
          <w:p w14:paraId="2BFB8A21" w14:textId="77777777" w:rsidR="00822BF0" w:rsidRPr="002C1A71" w:rsidRDefault="00822BF0">
            <w:pPr>
              <w:jc w:val="center"/>
              <w:rPr>
                <w:rFonts w:ascii="Arial" w:hAnsi="Arial" w:cs="Arial"/>
                <w:sz w:val="22"/>
                <w:szCs w:val="22"/>
                <w:lang w:val="lt-LT"/>
              </w:rPr>
            </w:pPr>
            <w:proofErr w:type="spellStart"/>
            <w:r w:rsidRPr="002C1A71">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vAlign w:val="center"/>
            <w:hideMark/>
          </w:tcPr>
          <w:p w14:paraId="6BEEDDB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vAlign w:val="center"/>
            <w:hideMark/>
          </w:tcPr>
          <w:p w14:paraId="45BCAB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517" w:type="dxa"/>
            <w:tcBorders>
              <w:top w:val="nil"/>
              <w:left w:val="nil"/>
              <w:bottom w:val="single" w:sz="4" w:space="0" w:color="auto"/>
              <w:right w:val="single" w:sz="4" w:space="0" w:color="auto"/>
            </w:tcBorders>
            <w:vAlign w:val="center"/>
            <w:hideMark/>
          </w:tcPr>
          <w:p w14:paraId="720BDDE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r>
      <w:tr w:rsidR="00D84D77" w:rsidRPr="002C1A71" w14:paraId="2D0395D4"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1C64E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1</w:t>
            </w:r>
          </w:p>
        </w:tc>
        <w:tc>
          <w:tcPr>
            <w:tcW w:w="851" w:type="dxa"/>
            <w:tcBorders>
              <w:top w:val="nil"/>
              <w:left w:val="nil"/>
              <w:bottom w:val="single" w:sz="4" w:space="0" w:color="auto"/>
              <w:right w:val="single" w:sz="4" w:space="0" w:color="auto"/>
            </w:tcBorders>
            <w:vAlign w:val="center"/>
            <w:hideMark/>
          </w:tcPr>
          <w:p w14:paraId="6FBDB1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B48CBE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12C2C4B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50186F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6A4379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4F608C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7DBBA17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222E570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66CC961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51A7745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2027AC2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ED7F9AC"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7D97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2</w:t>
            </w:r>
          </w:p>
        </w:tc>
        <w:tc>
          <w:tcPr>
            <w:tcW w:w="851" w:type="dxa"/>
            <w:tcBorders>
              <w:top w:val="nil"/>
              <w:left w:val="nil"/>
              <w:bottom w:val="single" w:sz="4" w:space="0" w:color="auto"/>
              <w:right w:val="single" w:sz="4" w:space="0" w:color="auto"/>
            </w:tcBorders>
            <w:vAlign w:val="center"/>
            <w:hideMark/>
          </w:tcPr>
          <w:p w14:paraId="40F00E8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46965F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6A79C5A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CA009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029F4D26"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345F59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48F8CA1B"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0B6E596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2368BE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045A644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1AC691E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A3C51CB"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E92228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3</w:t>
            </w:r>
          </w:p>
        </w:tc>
        <w:tc>
          <w:tcPr>
            <w:tcW w:w="851" w:type="dxa"/>
            <w:tcBorders>
              <w:top w:val="nil"/>
              <w:left w:val="nil"/>
              <w:bottom w:val="single" w:sz="4" w:space="0" w:color="auto"/>
              <w:right w:val="single" w:sz="4" w:space="0" w:color="auto"/>
            </w:tcBorders>
            <w:vAlign w:val="center"/>
            <w:hideMark/>
          </w:tcPr>
          <w:p w14:paraId="5742CC1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389B5EC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3B90A1E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36A02D67"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9FAA661"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FCDA88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6FC76CA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50A1320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530999F3"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263E3D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D28331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7ABB5FE6" w14:textId="77777777" w:rsidTr="007E0AF2">
        <w:trPr>
          <w:trHeight w:val="474"/>
        </w:trPr>
        <w:tc>
          <w:tcPr>
            <w:tcW w:w="567" w:type="dxa"/>
            <w:tcBorders>
              <w:top w:val="nil"/>
              <w:left w:val="single" w:sz="4" w:space="0" w:color="auto"/>
              <w:bottom w:val="single" w:sz="4" w:space="0" w:color="auto"/>
              <w:right w:val="single" w:sz="4" w:space="0" w:color="auto"/>
            </w:tcBorders>
            <w:vAlign w:val="center"/>
            <w:hideMark/>
          </w:tcPr>
          <w:p w14:paraId="071AB62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4</w:t>
            </w:r>
          </w:p>
        </w:tc>
        <w:tc>
          <w:tcPr>
            <w:tcW w:w="851" w:type="dxa"/>
            <w:tcBorders>
              <w:top w:val="nil"/>
              <w:left w:val="nil"/>
              <w:bottom w:val="single" w:sz="4" w:space="0" w:color="auto"/>
              <w:right w:val="single" w:sz="4" w:space="0" w:color="auto"/>
            </w:tcBorders>
            <w:vAlign w:val="center"/>
            <w:hideMark/>
          </w:tcPr>
          <w:p w14:paraId="26CBEFF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78C15D6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2D28F24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16E2D6E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1759FD6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725A604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102D8A0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3E14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3C58EEB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ACB9C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045A44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15A02426" w14:textId="77777777" w:rsidTr="007E0AF2">
        <w:trPr>
          <w:trHeight w:val="301"/>
        </w:trPr>
        <w:tc>
          <w:tcPr>
            <w:tcW w:w="567" w:type="dxa"/>
            <w:tcBorders>
              <w:top w:val="nil"/>
              <w:left w:val="nil"/>
              <w:bottom w:val="nil"/>
              <w:right w:val="nil"/>
            </w:tcBorders>
            <w:noWrap/>
            <w:vAlign w:val="bottom"/>
            <w:hideMark/>
          </w:tcPr>
          <w:p w14:paraId="015AF84A" w14:textId="77777777" w:rsidR="00822BF0" w:rsidRPr="002C1A71" w:rsidRDefault="00822BF0">
            <w:pPr>
              <w:jc w:val="center"/>
              <w:rPr>
                <w:rFonts w:ascii="Arial" w:hAnsi="Arial" w:cs="Arial"/>
                <w:sz w:val="22"/>
                <w:szCs w:val="22"/>
                <w:lang w:val="lt-LT"/>
              </w:rPr>
            </w:pPr>
          </w:p>
        </w:tc>
        <w:tc>
          <w:tcPr>
            <w:tcW w:w="851" w:type="dxa"/>
            <w:tcBorders>
              <w:top w:val="nil"/>
              <w:left w:val="nil"/>
              <w:bottom w:val="nil"/>
              <w:right w:val="nil"/>
            </w:tcBorders>
            <w:noWrap/>
            <w:vAlign w:val="bottom"/>
            <w:hideMark/>
          </w:tcPr>
          <w:p w14:paraId="19F3DA92"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B14C28C"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267839FC"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6D552E7E"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7E58F95"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3CC232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106FE5C"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0458B68A"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noWrap/>
            <w:vAlign w:val="bottom"/>
            <w:hideMark/>
          </w:tcPr>
          <w:p w14:paraId="5A5F7891"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1BA12D00"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114816D2" w14:textId="77777777" w:rsidR="00822BF0" w:rsidRPr="002C1A71" w:rsidRDefault="00822BF0">
            <w:pPr>
              <w:rPr>
                <w:rFonts w:ascii="Arial" w:hAnsi="Arial" w:cs="Arial"/>
                <w:sz w:val="22"/>
                <w:szCs w:val="22"/>
                <w:lang w:val="lt-LT"/>
              </w:rPr>
            </w:pPr>
          </w:p>
        </w:tc>
      </w:tr>
      <w:tr w:rsidR="00D84D77" w:rsidRPr="002C1A71" w14:paraId="7D93B910" w14:textId="77777777" w:rsidTr="007E0AF2">
        <w:trPr>
          <w:trHeight w:val="301"/>
        </w:trPr>
        <w:tc>
          <w:tcPr>
            <w:tcW w:w="567" w:type="dxa"/>
            <w:tcBorders>
              <w:top w:val="nil"/>
              <w:left w:val="nil"/>
              <w:bottom w:val="nil"/>
              <w:right w:val="nil"/>
            </w:tcBorders>
            <w:noWrap/>
            <w:vAlign w:val="bottom"/>
            <w:hideMark/>
          </w:tcPr>
          <w:p w14:paraId="3B977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3E0605F7"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81FAD39"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42452B0A"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290F579"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3E2610C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55F6D66"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hideMark/>
          </w:tcPr>
          <w:p w14:paraId="48F4D598"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73B30580" w14:textId="77777777" w:rsidR="00822BF0" w:rsidRPr="002C1A71" w:rsidRDefault="00822BF0">
            <w:pPr>
              <w:jc w:val="center"/>
              <w:rPr>
                <w:rFonts w:ascii="Arial" w:hAnsi="Arial" w:cs="Arial"/>
                <w:sz w:val="22"/>
                <w:szCs w:val="22"/>
                <w:lang w:val="lt-LT"/>
              </w:rPr>
            </w:pPr>
          </w:p>
        </w:tc>
        <w:tc>
          <w:tcPr>
            <w:tcW w:w="2127" w:type="dxa"/>
            <w:tcBorders>
              <w:top w:val="nil"/>
              <w:left w:val="nil"/>
              <w:bottom w:val="nil"/>
              <w:right w:val="nil"/>
            </w:tcBorders>
            <w:noWrap/>
            <w:vAlign w:val="bottom"/>
            <w:hideMark/>
          </w:tcPr>
          <w:p w14:paraId="35E7052C"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7ABE449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705B6738" w14:textId="77777777" w:rsidR="00822BF0" w:rsidRPr="002C1A71" w:rsidRDefault="00822BF0">
            <w:pPr>
              <w:rPr>
                <w:rFonts w:ascii="Arial" w:hAnsi="Arial" w:cs="Arial"/>
                <w:sz w:val="22"/>
                <w:szCs w:val="22"/>
                <w:lang w:val="lt-LT"/>
              </w:rPr>
            </w:pPr>
          </w:p>
        </w:tc>
      </w:tr>
      <w:tr w:rsidR="00D84D77" w:rsidRPr="002C1A71" w14:paraId="7E1E60A2" w14:textId="77777777" w:rsidTr="00822BF0">
        <w:trPr>
          <w:trHeight w:val="301"/>
        </w:trPr>
        <w:tc>
          <w:tcPr>
            <w:tcW w:w="567" w:type="dxa"/>
            <w:tcBorders>
              <w:top w:val="nil"/>
              <w:left w:val="nil"/>
              <w:bottom w:val="nil"/>
              <w:right w:val="nil"/>
            </w:tcBorders>
            <w:noWrap/>
            <w:vAlign w:val="bottom"/>
            <w:hideMark/>
          </w:tcPr>
          <w:p w14:paraId="272FA668"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A0FA68A"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574F643" w14:textId="77777777"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23186B6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noWrap/>
            <w:vAlign w:val="bottom"/>
            <w:hideMark/>
          </w:tcPr>
          <w:p w14:paraId="7ADCA953"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7E58D8B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317F2FE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noWrap/>
            <w:hideMark/>
          </w:tcPr>
          <w:p w14:paraId="775DDD7A"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6706775F" w14:textId="77777777" w:rsidR="00822BF0" w:rsidRPr="002C1A71" w:rsidRDefault="00822BF0">
            <w:pPr>
              <w:rPr>
                <w:rFonts w:ascii="Arial" w:hAnsi="Arial" w:cs="Arial"/>
                <w:sz w:val="22"/>
                <w:szCs w:val="22"/>
                <w:lang w:val="lt-LT"/>
              </w:rPr>
            </w:pPr>
          </w:p>
        </w:tc>
      </w:tr>
      <w:tr w:rsidR="00D84D77" w:rsidRPr="002C1A71" w14:paraId="73F2889A" w14:textId="77777777" w:rsidTr="00822BF0">
        <w:trPr>
          <w:trHeight w:val="301"/>
        </w:trPr>
        <w:tc>
          <w:tcPr>
            <w:tcW w:w="567" w:type="dxa"/>
            <w:tcBorders>
              <w:top w:val="nil"/>
              <w:left w:val="nil"/>
              <w:bottom w:val="nil"/>
              <w:right w:val="nil"/>
            </w:tcBorders>
            <w:noWrap/>
            <w:vAlign w:val="bottom"/>
            <w:hideMark/>
          </w:tcPr>
          <w:p w14:paraId="6E6E20FB"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11F44063"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256CB8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36CB421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2EB3B889"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3FBB38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noWrap/>
            <w:hideMark/>
          </w:tcPr>
          <w:p w14:paraId="0C72C949"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2AA0C000" w14:textId="77777777" w:rsidR="00822BF0" w:rsidRPr="002C1A71" w:rsidRDefault="00822BF0">
            <w:pPr>
              <w:rPr>
                <w:rFonts w:ascii="Arial" w:hAnsi="Arial" w:cs="Arial"/>
                <w:sz w:val="22"/>
                <w:szCs w:val="22"/>
                <w:lang w:val="lt-LT"/>
              </w:rPr>
            </w:pPr>
          </w:p>
        </w:tc>
      </w:tr>
      <w:tr w:rsidR="00D84D77" w:rsidRPr="002C1A71" w14:paraId="5840CA3C" w14:textId="77777777" w:rsidTr="007E0AF2">
        <w:trPr>
          <w:trHeight w:val="301"/>
        </w:trPr>
        <w:tc>
          <w:tcPr>
            <w:tcW w:w="567" w:type="dxa"/>
            <w:tcBorders>
              <w:top w:val="nil"/>
              <w:left w:val="nil"/>
              <w:bottom w:val="nil"/>
              <w:right w:val="nil"/>
            </w:tcBorders>
            <w:noWrap/>
            <w:vAlign w:val="bottom"/>
            <w:hideMark/>
          </w:tcPr>
          <w:p w14:paraId="3A6F7C86"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208EED4"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BBF262B"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3F27E95B"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9302890"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47911AB7"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24BAC8CE"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2CB65703"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hideMark/>
          </w:tcPr>
          <w:p w14:paraId="6A34CF33"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noWrap/>
            <w:hideMark/>
          </w:tcPr>
          <w:p w14:paraId="06FDD1D0"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5266DCD2"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F325056" w14:textId="77777777" w:rsidR="00822BF0" w:rsidRPr="002C1A71" w:rsidRDefault="00822BF0">
            <w:pPr>
              <w:rPr>
                <w:rFonts w:ascii="Arial" w:hAnsi="Arial" w:cs="Arial"/>
                <w:sz w:val="22"/>
                <w:szCs w:val="22"/>
                <w:lang w:val="lt-LT"/>
              </w:rPr>
            </w:pPr>
          </w:p>
        </w:tc>
      </w:tr>
      <w:tr w:rsidR="00D84D77" w:rsidRPr="002C1A71" w14:paraId="52D414F0" w14:textId="77777777" w:rsidTr="007E0AF2">
        <w:trPr>
          <w:trHeight w:val="301"/>
        </w:trPr>
        <w:tc>
          <w:tcPr>
            <w:tcW w:w="567" w:type="dxa"/>
            <w:tcBorders>
              <w:top w:val="nil"/>
              <w:left w:val="nil"/>
              <w:bottom w:val="nil"/>
              <w:right w:val="nil"/>
            </w:tcBorders>
            <w:noWrap/>
            <w:vAlign w:val="bottom"/>
            <w:hideMark/>
          </w:tcPr>
          <w:p w14:paraId="489B3537"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05555B85"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6A4BD4E"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68FF37D1"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220D4F01"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39C996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9B6D0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55585A76"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hideMark/>
          </w:tcPr>
          <w:p w14:paraId="3993559B"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noWrap/>
            <w:hideMark/>
          </w:tcPr>
          <w:p w14:paraId="6447F4FF"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378EC4BC"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7B1E41ED" w14:textId="77777777" w:rsidR="00822BF0" w:rsidRPr="002C1A71" w:rsidRDefault="00822BF0">
            <w:pPr>
              <w:rPr>
                <w:rFonts w:ascii="Arial" w:hAnsi="Arial" w:cs="Arial"/>
                <w:sz w:val="22"/>
                <w:szCs w:val="22"/>
                <w:lang w:val="lt-LT"/>
              </w:rPr>
            </w:pPr>
          </w:p>
        </w:tc>
      </w:tr>
      <w:tr w:rsidR="00D84D77" w:rsidRPr="002C1A71" w14:paraId="090ABDA8" w14:textId="77777777" w:rsidTr="00822BF0">
        <w:trPr>
          <w:trHeight w:val="431"/>
        </w:trPr>
        <w:tc>
          <w:tcPr>
            <w:tcW w:w="567" w:type="dxa"/>
            <w:tcBorders>
              <w:top w:val="nil"/>
              <w:left w:val="nil"/>
              <w:bottom w:val="nil"/>
              <w:right w:val="nil"/>
            </w:tcBorders>
            <w:noWrap/>
            <w:vAlign w:val="bottom"/>
            <w:hideMark/>
          </w:tcPr>
          <w:p w14:paraId="2D340E22"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410F0B1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92A2C6D" w14:textId="0EFDAA49"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61F74A1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noWrap/>
            <w:vAlign w:val="bottom"/>
            <w:hideMark/>
          </w:tcPr>
          <w:p w14:paraId="66E1E477"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0306851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2C2CB7B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noWrap/>
            <w:hideMark/>
          </w:tcPr>
          <w:p w14:paraId="4A90EB0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3496676E" w14:textId="77777777" w:rsidR="00822BF0" w:rsidRPr="002C1A71" w:rsidRDefault="00822BF0">
            <w:pPr>
              <w:rPr>
                <w:rFonts w:ascii="Arial" w:hAnsi="Arial" w:cs="Arial"/>
                <w:sz w:val="22"/>
                <w:szCs w:val="22"/>
                <w:lang w:val="lt-LT"/>
              </w:rPr>
            </w:pPr>
          </w:p>
        </w:tc>
      </w:tr>
      <w:tr w:rsidR="00822BF0" w:rsidRPr="002C1A71" w14:paraId="1EB8B52A" w14:textId="77777777" w:rsidTr="00822BF0">
        <w:trPr>
          <w:trHeight w:val="316"/>
        </w:trPr>
        <w:tc>
          <w:tcPr>
            <w:tcW w:w="567" w:type="dxa"/>
            <w:tcBorders>
              <w:top w:val="nil"/>
              <w:left w:val="nil"/>
              <w:bottom w:val="nil"/>
              <w:right w:val="nil"/>
            </w:tcBorders>
            <w:noWrap/>
            <w:vAlign w:val="bottom"/>
            <w:hideMark/>
          </w:tcPr>
          <w:p w14:paraId="7C1A8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2202E76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474FF2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776DBB6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47BC6E9C"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22EC360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noWrap/>
            <w:hideMark/>
          </w:tcPr>
          <w:p w14:paraId="5AE299B1"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22EF6A3" w14:textId="77777777" w:rsidR="00822BF0" w:rsidRPr="002C1A71" w:rsidRDefault="00822BF0">
            <w:pPr>
              <w:rPr>
                <w:rFonts w:ascii="Arial" w:hAnsi="Arial" w:cs="Arial"/>
                <w:sz w:val="22"/>
                <w:szCs w:val="22"/>
                <w:lang w:val="lt-LT"/>
              </w:rPr>
            </w:pPr>
          </w:p>
        </w:tc>
      </w:tr>
    </w:tbl>
    <w:p w14:paraId="12CA0079" w14:textId="748F7B31" w:rsidR="00E974C2" w:rsidRPr="002C1A71" w:rsidRDefault="00E974C2" w:rsidP="00822BF0">
      <w:pPr>
        <w:shd w:val="clear" w:color="auto" w:fill="FFFFFF"/>
        <w:jc w:val="both"/>
        <w:rPr>
          <w:rFonts w:ascii="Arial" w:hAnsi="Arial" w:cs="Arial"/>
          <w:sz w:val="22"/>
          <w:szCs w:val="22"/>
          <w:lang w:val="lt-LT"/>
        </w:rPr>
      </w:pPr>
    </w:p>
    <w:p w14:paraId="2AE6C67E" w14:textId="77777777" w:rsidR="00E974C2" w:rsidRPr="002C1A71" w:rsidRDefault="00E974C2" w:rsidP="00822BF0">
      <w:pPr>
        <w:shd w:val="clear" w:color="auto" w:fill="FFFFFF"/>
        <w:jc w:val="both"/>
        <w:rPr>
          <w:rFonts w:ascii="Arial" w:hAnsi="Arial" w:cs="Arial"/>
          <w:sz w:val="22"/>
          <w:szCs w:val="22"/>
          <w:lang w:val="lt-LT"/>
        </w:rPr>
      </w:pPr>
    </w:p>
    <w:p w14:paraId="72F2730B" w14:textId="77777777" w:rsidR="00E974C2" w:rsidRPr="002C1A71" w:rsidRDefault="00E974C2" w:rsidP="00822BF0">
      <w:pPr>
        <w:shd w:val="clear" w:color="auto" w:fill="FFFFFF"/>
        <w:jc w:val="both"/>
        <w:rPr>
          <w:rFonts w:ascii="Arial" w:hAnsi="Arial" w:cs="Arial"/>
          <w:sz w:val="22"/>
          <w:szCs w:val="22"/>
          <w:lang w:val="lt-LT"/>
        </w:rPr>
      </w:pPr>
    </w:p>
    <w:p w14:paraId="7F9A9837" w14:textId="77B629AB" w:rsidR="000E394A" w:rsidRPr="002C1A71" w:rsidRDefault="000E394A" w:rsidP="000E394A">
      <w:pPr>
        <w:jc w:val="right"/>
        <w:rPr>
          <w:rFonts w:ascii="Arial" w:hAnsi="Arial" w:cs="Arial"/>
          <w:b/>
          <w:bCs/>
          <w:sz w:val="22"/>
          <w:szCs w:val="22"/>
        </w:rPr>
      </w:pPr>
      <w:r w:rsidRPr="002C1A71">
        <w:rPr>
          <w:rFonts w:ascii="Arial" w:hAnsi="Arial" w:cs="Arial"/>
          <w:b/>
          <w:bCs/>
          <w:sz w:val="22"/>
          <w:szCs w:val="22"/>
          <w:lang w:val="lt-LT"/>
        </w:rPr>
        <w:lastRenderedPageBreak/>
        <w:t>Sutartie priedas Nr. 3</w:t>
      </w:r>
    </w:p>
    <w:p w14:paraId="26AA6228" w14:textId="77777777" w:rsidR="00E974C2" w:rsidRPr="002C1A71" w:rsidRDefault="00E974C2" w:rsidP="00822BF0">
      <w:pPr>
        <w:shd w:val="clear" w:color="auto" w:fill="FFFFFF"/>
        <w:jc w:val="both"/>
        <w:rPr>
          <w:rFonts w:ascii="Arial" w:hAnsi="Arial" w:cs="Arial"/>
          <w:sz w:val="22"/>
          <w:szCs w:val="22"/>
          <w:lang w:val="lt-LT"/>
        </w:rPr>
      </w:pPr>
    </w:p>
    <w:p w14:paraId="004CE1E3" w14:textId="77777777" w:rsidR="00E974C2" w:rsidRPr="002C1A71" w:rsidRDefault="00E974C2" w:rsidP="00822BF0">
      <w:pPr>
        <w:shd w:val="clear" w:color="auto" w:fill="FFFFFF"/>
        <w:jc w:val="both"/>
        <w:rPr>
          <w:rFonts w:ascii="Arial" w:hAnsi="Arial" w:cs="Arial"/>
          <w:sz w:val="22"/>
          <w:szCs w:val="22"/>
          <w:lang w:val="lt-LT"/>
        </w:rPr>
      </w:pPr>
    </w:p>
    <w:p w14:paraId="28DEE23A" w14:textId="77777777" w:rsidR="00FC61F6" w:rsidRPr="002C1A71" w:rsidRDefault="00FC61F6" w:rsidP="00822BF0">
      <w:pPr>
        <w:shd w:val="clear" w:color="auto" w:fill="FFFFFF"/>
        <w:jc w:val="both"/>
        <w:rPr>
          <w:rFonts w:ascii="Arial" w:hAnsi="Arial" w:cs="Arial"/>
          <w:sz w:val="22"/>
          <w:szCs w:val="22"/>
          <w:lang w:val="lt-LT"/>
        </w:rPr>
      </w:pPr>
    </w:p>
    <w:p w14:paraId="16AB413B"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DEKLARACIJA</w:t>
      </w:r>
    </w:p>
    <w:p w14:paraId="42F24295" w14:textId="77777777" w:rsidR="00FC61F6" w:rsidRPr="002C1A71" w:rsidRDefault="00FC61F6" w:rsidP="00FC61F6">
      <w:pPr>
        <w:rPr>
          <w:rFonts w:ascii="Arial" w:hAnsi="Arial" w:cs="Arial"/>
          <w:b/>
          <w:bCs/>
          <w:sz w:val="22"/>
          <w:szCs w:val="22"/>
          <w:lang w:val="lt-LT"/>
        </w:rPr>
      </w:pPr>
    </w:p>
    <w:p w14:paraId="62F13946"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Dėl tarptautinių sankcijų laikymosi</w:t>
      </w:r>
    </w:p>
    <w:p w14:paraId="5B2F28E4" w14:textId="77777777" w:rsidR="00FC61F6" w:rsidRPr="002C1A71" w:rsidRDefault="00FC61F6" w:rsidP="00FC61F6">
      <w:pPr>
        <w:rPr>
          <w:rFonts w:ascii="Arial" w:hAnsi="Arial" w:cs="Arial"/>
          <w:i/>
          <w:iCs/>
          <w:sz w:val="22"/>
          <w:szCs w:val="22"/>
          <w:lang w:val="lt-LT"/>
        </w:rPr>
      </w:pPr>
    </w:p>
    <w:p w14:paraId="3B409356" w14:textId="1CB66DF4" w:rsidR="00FC61F6" w:rsidRPr="002C1A71" w:rsidRDefault="00FC61F6" w:rsidP="00FC61F6">
      <w:pPr>
        <w:rPr>
          <w:rFonts w:ascii="Arial" w:hAnsi="Arial" w:cs="Arial"/>
          <w:i/>
          <w:iCs/>
          <w:sz w:val="22"/>
          <w:szCs w:val="22"/>
          <w:lang w:val="lt-LT"/>
        </w:rPr>
      </w:pPr>
      <w:r w:rsidRPr="002C1A71">
        <w:rPr>
          <w:rFonts w:ascii="Arial" w:hAnsi="Arial" w:cs="Arial"/>
          <w:i/>
          <w:iCs/>
          <w:sz w:val="22"/>
          <w:szCs w:val="22"/>
          <w:lang w:val="lt-LT"/>
        </w:rPr>
        <w:t>202</w:t>
      </w:r>
      <w:r w:rsidR="00B263EE">
        <w:rPr>
          <w:rFonts w:ascii="Arial" w:hAnsi="Arial" w:cs="Arial"/>
          <w:i/>
          <w:iCs/>
          <w:sz w:val="22"/>
          <w:szCs w:val="22"/>
          <w:lang w:val="lt-LT"/>
        </w:rPr>
        <w:t>6</w:t>
      </w:r>
    </w:p>
    <w:p w14:paraId="37612249" w14:textId="77777777" w:rsidR="00FC61F6" w:rsidRPr="002C1A71" w:rsidRDefault="00FC61F6" w:rsidP="00FC61F6">
      <w:pPr>
        <w:rPr>
          <w:rFonts w:ascii="Arial" w:hAnsi="Arial" w:cs="Arial"/>
          <w:sz w:val="22"/>
          <w:szCs w:val="22"/>
          <w:lang w:val="lt-LT"/>
        </w:rPr>
      </w:pPr>
    </w:p>
    <w:p w14:paraId="246D0E68" w14:textId="4A3E7CBB"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0B0D3C" w:rsidRPr="002C1A71">
        <w:rPr>
          <w:rFonts w:ascii="Arial" w:hAnsi="Arial" w:cs="Arial"/>
          <w:sz w:val="22"/>
          <w:szCs w:val="22"/>
          <w:lang w:val="lt-LT"/>
        </w:rPr>
        <w:t>“</w:t>
      </w:r>
      <w:r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w:t>
      </w:r>
      <w:r w:rsidRPr="002C1A71">
        <w:rPr>
          <w:rFonts w:ascii="Arial" w:hAnsi="Arial" w:cs="Arial"/>
          <w:sz w:val="22"/>
          <w:szCs w:val="22"/>
          <w:lang w:val="lt-LT"/>
        </w:rPr>
        <w:t>patvirtina, kad</w:t>
      </w:r>
      <w:r w:rsidRPr="002C1A71">
        <w:rPr>
          <w:rStyle w:val="CommentReference"/>
          <w:rFonts w:ascii="Arial" w:hAnsi="Arial" w:cs="Arial"/>
          <w:lang w:val="lt-LT"/>
        </w:rPr>
        <w:t xml:space="preserve"> </w:t>
      </w:r>
      <w:r w:rsidRPr="002C1A71">
        <w:rPr>
          <w:rFonts w:ascii="Arial" w:hAnsi="Arial" w:cs="Arial"/>
          <w:sz w:val="22"/>
          <w:szCs w:val="22"/>
          <w:lang w:val="lt-LT"/>
        </w:rPr>
        <w:t xml:space="preserve">laikosi ir įgyvendina sankcijų, kurias </w:t>
      </w:r>
      <w:bookmarkStart w:id="2" w:name="_Hlk153879662"/>
      <w:r w:rsidRPr="002C1A71">
        <w:rPr>
          <w:rFonts w:ascii="Arial" w:hAnsi="Arial" w:cs="Arial"/>
          <w:sz w:val="22"/>
          <w:szCs w:val="22"/>
          <w:lang w:val="lt-LT"/>
        </w:rPr>
        <w:t xml:space="preserve">nustato, taiko ar administruoja </w:t>
      </w:r>
      <w:bookmarkEnd w:id="2"/>
      <w:r w:rsidRPr="002C1A71">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06CE74FD" w14:textId="77777777" w:rsidR="00FC61F6" w:rsidRPr="002C1A71" w:rsidRDefault="00FC61F6" w:rsidP="00FC61F6">
      <w:pPr>
        <w:jc w:val="both"/>
        <w:rPr>
          <w:rFonts w:ascii="Arial" w:hAnsi="Arial" w:cs="Arial"/>
          <w:sz w:val="22"/>
          <w:szCs w:val="22"/>
          <w:lang w:val="lt-LT"/>
        </w:rPr>
      </w:pPr>
    </w:p>
    <w:p w14:paraId="396AD325" w14:textId="4F9BC209"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952A92"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patvirtina</w:t>
      </w:r>
      <w:r w:rsidRPr="002C1A71">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09C1E260" w14:textId="77777777" w:rsidR="00DB1C7A" w:rsidRPr="002C1A71" w:rsidRDefault="00DB1C7A" w:rsidP="00FC61F6">
      <w:pPr>
        <w:jc w:val="both"/>
        <w:rPr>
          <w:rFonts w:ascii="Arial" w:hAnsi="Arial" w:cs="Arial"/>
          <w:sz w:val="22"/>
          <w:szCs w:val="22"/>
          <w:lang w:val="lt-LT"/>
        </w:rPr>
      </w:pPr>
    </w:p>
    <w:p w14:paraId="0A7982B2" w14:textId="70B90154" w:rsidR="00FC61F6" w:rsidRPr="002C1A71" w:rsidRDefault="00BF4E8C" w:rsidP="00FC61F6">
      <w:pPr>
        <w:rPr>
          <w:rFonts w:ascii="Arial" w:hAnsi="Arial" w:cs="Arial"/>
          <w:sz w:val="22"/>
          <w:szCs w:val="22"/>
          <w:lang w:val="lt-LT"/>
        </w:rPr>
      </w:pPr>
      <w:r>
        <w:rPr>
          <w:rFonts w:ascii="Arial" w:hAnsi="Arial" w:cs="Arial"/>
          <w:sz w:val="22"/>
          <w:szCs w:val="22"/>
          <w:highlight w:val="yellow"/>
          <w:lang w:val="lt-LT"/>
        </w:rPr>
        <w:t>..........</w:t>
      </w:r>
      <w:r w:rsidR="00952A92" w:rsidRPr="005203F4">
        <w:rPr>
          <w:rFonts w:ascii="Arial" w:hAnsi="Arial" w:cs="Arial"/>
          <w:sz w:val="22"/>
          <w:szCs w:val="22"/>
          <w:highlight w:val="yellow"/>
          <w:lang w:val="lt-LT"/>
        </w:rPr>
        <w:t>“</w:t>
      </w:r>
      <w:r w:rsidR="00952A92" w:rsidRPr="002C1A71">
        <w:rPr>
          <w:rFonts w:ascii="Arial" w:hAnsi="Arial" w:cs="Arial"/>
          <w:sz w:val="22"/>
          <w:szCs w:val="22"/>
          <w:lang w:val="lt-LT"/>
        </w:rPr>
        <w:t xml:space="preserve"> juridinio asmens kodas </w:t>
      </w:r>
      <w:r>
        <w:rPr>
          <w:rFonts w:ascii="Arial" w:hAnsi="Arial" w:cs="Arial"/>
          <w:sz w:val="22"/>
          <w:szCs w:val="22"/>
          <w:lang w:val="lt-LT"/>
        </w:rPr>
        <w:t>.........</w:t>
      </w:r>
      <w:r w:rsidR="00952A92" w:rsidRPr="002C1A71">
        <w:rPr>
          <w:rFonts w:ascii="Arial" w:hAnsi="Arial" w:cs="Arial"/>
          <w:sz w:val="22"/>
          <w:szCs w:val="22"/>
          <w:lang w:val="lt-LT"/>
        </w:rPr>
        <w:t xml:space="preserve"> patvirtina</w:t>
      </w:r>
      <w:r w:rsidR="00FC61F6" w:rsidRPr="002C1A71">
        <w:rPr>
          <w:rFonts w:ascii="Arial" w:hAnsi="Arial" w:cs="Arial"/>
          <w:sz w:val="22"/>
          <w:szCs w:val="22"/>
          <w:lang w:val="lt-LT"/>
        </w:rPr>
        <w:t xml:space="preserve">, kad iš AB </w:t>
      </w:r>
      <w:r w:rsidR="00DB1C7A" w:rsidRPr="002C1A71">
        <w:rPr>
          <w:rFonts w:ascii="Arial" w:hAnsi="Arial" w:cs="Arial"/>
          <w:sz w:val="22"/>
          <w:szCs w:val="22"/>
          <w:lang w:val="lt-LT"/>
        </w:rPr>
        <w:t>„</w:t>
      </w:r>
      <w:r>
        <w:rPr>
          <w:rFonts w:ascii="Arial" w:hAnsi="Arial" w:cs="Arial"/>
          <w:sz w:val="22"/>
          <w:szCs w:val="22"/>
          <w:lang w:val="lt-LT"/>
        </w:rPr>
        <w:t>.......</w:t>
      </w:r>
      <w:r w:rsidR="00DB1C7A" w:rsidRPr="002C1A71">
        <w:rPr>
          <w:rFonts w:ascii="Arial" w:hAnsi="Arial" w:cs="Arial"/>
          <w:sz w:val="22"/>
          <w:szCs w:val="22"/>
          <w:lang w:val="lt-LT"/>
        </w:rPr>
        <w:t>“</w:t>
      </w:r>
      <w:r w:rsidR="00FC61F6" w:rsidRPr="002C1A71">
        <w:rPr>
          <w:rFonts w:ascii="Arial" w:hAnsi="Arial" w:cs="Arial"/>
          <w:sz w:val="22"/>
          <w:szCs w:val="22"/>
          <w:lang w:val="lt-LT"/>
        </w:rPr>
        <w:t xml:space="preserve"> pirktas Turtas nebus perparduodamas į:</w:t>
      </w:r>
    </w:p>
    <w:p w14:paraId="72979A96"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1. Rusijos Federaciją.</w:t>
      </w:r>
    </w:p>
    <w:p w14:paraId="3D1267F9"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2. Baltarusijos Respubliką.</w:t>
      </w:r>
    </w:p>
    <w:p w14:paraId="062BA27D"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3. Rusijos Federacijos aneksuotą Krymą.</w:t>
      </w:r>
    </w:p>
    <w:p w14:paraId="53053F85"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4. </w:t>
      </w:r>
      <w:proofErr w:type="spellStart"/>
      <w:r w:rsidRPr="002C1A71">
        <w:rPr>
          <w:rFonts w:ascii="Arial" w:hAnsi="Arial" w:cs="Arial"/>
          <w:sz w:val="22"/>
          <w:szCs w:val="22"/>
          <w:lang w:val="lt-LT"/>
        </w:rPr>
        <w:t>Padniestrės</w:t>
      </w:r>
      <w:proofErr w:type="spellEnd"/>
      <w:r w:rsidRPr="002C1A71">
        <w:rPr>
          <w:rFonts w:ascii="Arial" w:hAnsi="Arial" w:cs="Arial"/>
          <w:sz w:val="22"/>
          <w:szCs w:val="22"/>
          <w:lang w:val="lt-LT"/>
        </w:rPr>
        <w:t xml:space="preserve"> teritoriją nekontroliuoją Moldovos Respublikos Vyriausybės.</w:t>
      </w:r>
    </w:p>
    <w:p w14:paraId="0B62AE4E"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5. </w:t>
      </w:r>
      <w:proofErr w:type="spellStart"/>
      <w:r w:rsidRPr="002C1A71">
        <w:rPr>
          <w:rFonts w:ascii="Arial" w:hAnsi="Arial" w:cs="Arial"/>
          <w:sz w:val="22"/>
          <w:szCs w:val="22"/>
          <w:lang w:val="lt-LT"/>
        </w:rPr>
        <w:t>Sakartvelio</w:t>
      </w:r>
      <w:proofErr w:type="spellEnd"/>
      <w:r w:rsidRPr="002C1A71">
        <w:rPr>
          <w:rFonts w:ascii="Arial" w:hAnsi="Arial" w:cs="Arial"/>
          <w:sz w:val="22"/>
          <w:szCs w:val="22"/>
          <w:lang w:val="lt-LT"/>
        </w:rPr>
        <w:t xml:space="preserve">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D1B5" w14:textId="77777777" w:rsidR="008E0F02" w:rsidRDefault="008E0F02" w:rsidP="00A45F01">
      <w:r>
        <w:separator/>
      </w:r>
    </w:p>
  </w:endnote>
  <w:endnote w:type="continuationSeparator" w:id="0">
    <w:p w14:paraId="189F2C3C" w14:textId="77777777" w:rsidR="008E0F02" w:rsidRDefault="008E0F02" w:rsidP="00A45F01">
      <w:r>
        <w:continuationSeparator/>
      </w:r>
    </w:p>
  </w:endnote>
  <w:endnote w:type="continuationNotice" w:id="1">
    <w:p w14:paraId="5AA51AB5" w14:textId="77777777" w:rsidR="008E0F02" w:rsidRDefault="008E0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2576" w14:textId="77777777" w:rsidR="008E0F02" w:rsidRDefault="008E0F02" w:rsidP="00A45F01">
      <w:r>
        <w:separator/>
      </w:r>
    </w:p>
  </w:footnote>
  <w:footnote w:type="continuationSeparator" w:id="0">
    <w:p w14:paraId="6D9B9103" w14:textId="77777777" w:rsidR="008E0F02" w:rsidRDefault="008E0F02" w:rsidP="00A45F01">
      <w:r>
        <w:continuationSeparator/>
      </w:r>
    </w:p>
  </w:footnote>
  <w:footnote w:type="continuationNotice" w:id="1">
    <w:p w14:paraId="0413E808" w14:textId="77777777" w:rsidR="008E0F02" w:rsidRDefault="008E0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44E8"/>
    <w:rsid w:val="000047BC"/>
    <w:rsid w:val="00004E66"/>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948"/>
    <w:rsid w:val="00024061"/>
    <w:rsid w:val="00024813"/>
    <w:rsid w:val="00026AB7"/>
    <w:rsid w:val="00026D1C"/>
    <w:rsid w:val="000326A0"/>
    <w:rsid w:val="000360C5"/>
    <w:rsid w:val="00037C7D"/>
    <w:rsid w:val="00042703"/>
    <w:rsid w:val="00046AD6"/>
    <w:rsid w:val="00047BBC"/>
    <w:rsid w:val="000514BD"/>
    <w:rsid w:val="00051973"/>
    <w:rsid w:val="000524CC"/>
    <w:rsid w:val="0005353A"/>
    <w:rsid w:val="00054CDB"/>
    <w:rsid w:val="00057276"/>
    <w:rsid w:val="00060885"/>
    <w:rsid w:val="00062A1E"/>
    <w:rsid w:val="00063538"/>
    <w:rsid w:val="00066595"/>
    <w:rsid w:val="00067239"/>
    <w:rsid w:val="000675EE"/>
    <w:rsid w:val="0007017F"/>
    <w:rsid w:val="00070FE8"/>
    <w:rsid w:val="00073410"/>
    <w:rsid w:val="000746D2"/>
    <w:rsid w:val="00075D84"/>
    <w:rsid w:val="00077852"/>
    <w:rsid w:val="00077E9F"/>
    <w:rsid w:val="00081662"/>
    <w:rsid w:val="000819C3"/>
    <w:rsid w:val="000835E0"/>
    <w:rsid w:val="00084A21"/>
    <w:rsid w:val="00086942"/>
    <w:rsid w:val="00091260"/>
    <w:rsid w:val="00091E66"/>
    <w:rsid w:val="00092C13"/>
    <w:rsid w:val="00092EAE"/>
    <w:rsid w:val="0009346A"/>
    <w:rsid w:val="000949E2"/>
    <w:rsid w:val="00096F5D"/>
    <w:rsid w:val="000A09C5"/>
    <w:rsid w:val="000A3213"/>
    <w:rsid w:val="000A6641"/>
    <w:rsid w:val="000A72B7"/>
    <w:rsid w:val="000B0D3C"/>
    <w:rsid w:val="000B0DA2"/>
    <w:rsid w:val="000B390D"/>
    <w:rsid w:val="000B771D"/>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F02EC"/>
    <w:rsid w:val="000F271A"/>
    <w:rsid w:val="000F3F96"/>
    <w:rsid w:val="000F56EB"/>
    <w:rsid w:val="000F57F2"/>
    <w:rsid w:val="000F5DC0"/>
    <w:rsid w:val="00100AEE"/>
    <w:rsid w:val="00102669"/>
    <w:rsid w:val="00102963"/>
    <w:rsid w:val="00103D58"/>
    <w:rsid w:val="001122CE"/>
    <w:rsid w:val="0011388E"/>
    <w:rsid w:val="0011553D"/>
    <w:rsid w:val="001158BB"/>
    <w:rsid w:val="00116032"/>
    <w:rsid w:val="00116DD7"/>
    <w:rsid w:val="00120A97"/>
    <w:rsid w:val="00121E23"/>
    <w:rsid w:val="00123BA4"/>
    <w:rsid w:val="00131093"/>
    <w:rsid w:val="00134AD2"/>
    <w:rsid w:val="00140B59"/>
    <w:rsid w:val="001413A0"/>
    <w:rsid w:val="00141EA8"/>
    <w:rsid w:val="0014325F"/>
    <w:rsid w:val="001456D1"/>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5FD7"/>
    <w:rsid w:val="00186F37"/>
    <w:rsid w:val="001873D0"/>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B07CA"/>
    <w:rsid w:val="001B1425"/>
    <w:rsid w:val="001B3058"/>
    <w:rsid w:val="001B4064"/>
    <w:rsid w:val="001B4E6E"/>
    <w:rsid w:val="001B5261"/>
    <w:rsid w:val="001B62E2"/>
    <w:rsid w:val="001B6C80"/>
    <w:rsid w:val="001C051D"/>
    <w:rsid w:val="001C0748"/>
    <w:rsid w:val="001C2992"/>
    <w:rsid w:val="001C4772"/>
    <w:rsid w:val="001C636A"/>
    <w:rsid w:val="001D07BC"/>
    <w:rsid w:val="001D08D1"/>
    <w:rsid w:val="001D218A"/>
    <w:rsid w:val="001D2D2F"/>
    <w:rsid w:val="001D3908"/>
    <w:rsid w:val="001D4407"/>
    <w:rsid w:val="001D467E"/>
    <w:rsid w:val="001D5002"/>
    <w:rsid w:val="001D5FFC"/>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4716"/>
    <w:rsid w:val="002361A3"/>
    <w:rsid w:val="00237F53"/>
    <w:rsid w:val="00240733"/>
    <w:rsid w:val="00241466"/>
    <w:rsid w:val="00243E4C"/>
    <w:rsid w:val="00245A74"/>
    <w:rsid w:val="00251EF8"/>
    <w:rsid w:val="00255486"/>
    <w:rsid w:val="002600E9"/>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A7F"/>
    <w:rsid w:val="0029488D"/>
    <w:rsid w:val="002971EC"/>
    <w:rsid w:val="002A2E38"/>
    <w:rsid w:val="002A3535"/>
    <w:rsid w:val="002A53DF"/>
    <w:rsid w:val="002A612B"/>
    <w:rsid w:val="002B0269"/>
    <w:rsid w:val="002B1C49"/>
    <w:rsid w:val="002B208C"/>
    <w:rsid w:val="002B47E1"/>
    <w:rsid w:val="002B4966"/>
    <w:rsid w:val="002B520A"/>
    <w:rsid w:val="002B6AB1"/>
    <w:rsid w:val="002B6C24"/>
    <w:rsid w:val="002B7C8C"/>
    <w:rsid w:val="002C1254"/>
    <w:rsid w:val="002C1A71"/>
    <w:rsid w:val="002C2065"/>
    <w:rsid w:val="002C4587"/>
    <w:rsid w:val="002C525C"/>
    <w:rsid w:val="002C531D"/>
    <w:rsid w:val="002C650C"/>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893"/>
    <w:rsid w:val="003360EF"/>
    <w:rsid w:val="003361F7"/>
    <w:rsid w:val="003421AF"/>
    <w:rsid w:val="00342DAD"/>
    <w:rsid w:val="00347FD4"/>
    <w:rsid w:val="0035171D"/>
    <w:rsid w:val="0035553A"/>
    <w:rsid w:val="00361D86"/>
    <w:rsid w:val="00363472"/>
    <w:rsid w:val="003634DF"/>
    <w:rsid w:val="00363FD7"/>
    <w:rsid w:val="003641E0"/>
    <w:rsid w:val="00364BE6"/>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A0133"/>
    <w:rsid w:val="003A62DF"/>
    <w:rsid w:val="003A63F1"/>
    <w:rsid w:val="003A67F6"/>
    <w:rsid w:val="003A7609"/>
    <w:rsid w:val="003A776D"/>
    <w:rsid w:val="003B112B"/>
    <w:rsid w:val="003B354A"/>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D2"/>
    <w:rsid w:val="003E0247"/>
    <w:rsid w:val="003E0742"/>
    <w:rsid w:val="003E0747"/>
    <w:rsid w:val="003E1591"/>
    <w:rsid w:val="003E2E12"/>
    <w:rsid w:val="003E3E92"/>
    <w:rsid w:val="003E40A3"/>
    <w:rsid w:val="003F16C8"/>
    <w:rsid w:val="003F45E8"/>
    <w:rsid w:val="003F66FA"/>
    <w:rsid w:val="003F730F"/>
    <w:rsid w:val="00401FC3"/>
    <w:rsid w:val="0040435F"/>
    <w:rsid w:val="004121DA"/>
    <w:rsid w:val="004126CA"/>
    <w:rsid w:val="00413B31"/>
    <w:rsid w:val="004151CF"/>
    <w:rsid w:val="004173D2"/>
    <w:rsid w:val="00417F0D"/>
    <w:rsid w:val="00421B2C"/>
    <w:rsid w:val="00427F8C"/>
    <w:rsid w:val="00430DEB"/>
    <w:rsid w:val="00436A9D"/>
    <w:rsid w:val="004377A3"/>
    <w:rsid w:val="004403FF"/>
    <w:rsid w:val="00440B13"/>
    <w:rsid w:val="0044127E"/>
    <w:rsid w:val="004442D9"/>
    <w:rsid w:val="00445B4F"/>
    <w:rsid w:val="004471D4"/>
    <w:rsid w:val="00450127"/>
    <w:rsid w:val="004529FD"/>
    <w:rsid w:val="00453DF9"/>
    <w:rsid w:val="00455564"/>
    <w:rsid w:val="00460A03"/>
    <w:rsid w:val="0046241B"/>
    <w:rsid w:val="00465664"/>
    <w:rsid w:val="00465ECE"/>
    <w:rsid w:val="00470936"/>
    <w:rsid w:val="00477EC3"/>
    <w:rsid w:val="00480015"/>
    <w:rsid w:val="00482C11"/>
    <w:rsid w:val="00483B11"/>
    <w:rsid w:val="004857B6"/>
    <w:rsid w:val="004922C1"/>
    <w:rsid w:val="004926C2"/>
    <w:rsid w:val="00492E41"/>
    <w:rsid w:val="00492F2C"/>
    <w:rsid w:val="004956C1"/>
    <w:rsid w:val="00495A50"/>
    <w:rsid w:val="00496C86"/>
    <w:rsid w:val="004A0A4F"/>
    <w:rsid w:val="004A0E66"/>
    <w:rsid w:val="004A0F54"/>
    <w:rsid w:val="004A18D1"/>
    <w:rsid w:val="004A5E4F"/>
    <w:rsid w:val="004A6EBA"/>
    <w:rsid w:val="004A71B7"/>
    <w:rsid w:val="004B17E8"/>
    <w:rsid w:val="004B25AF"/>
    <w:rsid w:val="004B3447"/>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4551"/>
    <w:rsid w:val="004E6B78"/>
    <w:rsid w:val="004E6D39"/>
    <w:rsid w:val="004E7CBC"/>
    <w:rsid w:val="004F0CF0"/>
    <w:rsid w:val="004F350F"/>
    <w:rsid w:val="004F4C19"/>
    <w:rsid w:val="004F78CE"/>
    <w:rsid w:val="00502E35"/>
    <w:rsid w:val="00503934"/>
    <w:rsid w:val="00507A04"/>
    <w:rsid w:val="00507D15"/>
    <w:rsid w:val="00510D4B"/>
    <w:rsid w:val="0051485A"/>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4196"/>
    <w:rsid w:val="00546659"/>
    <w:rsid w:val="005524E7"/>
    <w:rsid w:val="00552673"/>
    <w:rsid w:val="00552F4B"/>
    <w:rsid w:val="00553000"/>
    <w:rsid w:val="00553A22"/>
    <w:rsid w:val="00553D3C"/>
    <w:rsid w:val="00556C63"/>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4223"/>
    <w:rsid w:val="005966DD"/>
    <w:rsid w:val="005971BF"/>
    <w:rsid w:val="005A3BA3"/>
    <w:rsid w:val="005A502E"/>
    <w:rsid w:val="005A5B6C"/>
    <w:rsid w:val="005A613A"/>
    <w:rsid w:val="005B06F3"/>
    <w:rsid w:val="005B1269"/>
    <w:rsid w:val="005B1C8E"/>
    <w:rsid w:val="005B35A9"/>
    <w:rsid w:val="005B381B"/>
    <w:rsid w:val="005B75B8"/>
    <w:rsid w:val="005C009E"/>
    <w:rsid w:val="005C011E"/>
    <w:rsid w:val="005C136A"/>
    <w:rsid w:val="005C1BD7"/>
    <w:rsid w:val="005C2F1A"/>
    <w:rsid w:val="005C4AE7"/>
    <w:rsid w:val="005D1389"/>
    <w:rsid w:val="005D2298"/>
    <w:rsid w:val="005D4996"/>
    <w:rsid w:val="005D5244"/>
    <w:rsid w:val="005D6213"/>
    <w:rsid w:val="005E0735"/>
    <w:rsid w:val="005E324B"/>
    <w:rsid w:val="005E7F2B"/>
    <w:rsid w:val="005F07C5"/>
    <w:rsid w:val="005F0D21"/>
    <w:rsid w:val="005F485B"/>
    <w:rsid w:val="00600D25"/>
    <w:rsid w:val="00602C7D"/>
    <w:rsid w:val="006042AA"/>
    <w:rsid w:val="00605943"/>
    <w:rsid w:val="00606066"/>
    <w:rsid w:val="00606DB7"/>
    <w:rsid w:val="006103C5"/>
    <w:rsid w:val="0061212F"/>
    <w:rsid w:val="00614D74"/>
    <w:rsid w:val="00620812"/>
    <w:rsid w:val="006213E7"/>
    <w:rsid w:val="00621C23"/>
    <w:rsid w:val="00626982"/>
    <w:rsid w:val="00627876"/>
    <w:rsid w:val="006328C2"/>
    <w:rsid w:val="00632C83"/>
    <w:rsid w:val="00635F56"/>
    <w:rsid w:val="0064009E"/>
    <w:rsid w:val="0064188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64F8"/>
    <w:rsid w:val="00681EBF"/>
    <w:rsid w:val="006825B6"/>
    <w:rsid w:val="00682908"/>
    <w:rsid w:val="00683FC7"/>
    <w:rsid w:val="00684A9E"/>
    <w:rsid w:val="00687AB7"/>
    <w:rsid w:val="00687F0C"/>
    <w:rsid w:val="0069068A"/>
    <w:rsid w:val="00690A60"/>
    <w:rsid w:val="00691705"/>
    <w:rsid w:val="00692460"/>
    <w:rsid w:val="00692AC0"/>
    <w:rsid w:val="00693944"/>
    <w:rsid w:val="006968C1"/>
    <w:rsid w:val="00697A29"/>
    <w:rsid w:val="006A1B2C"/>
    <w:rsid w:val="006A27E1"/>
    <w:rsid w:val="006A362B"/>
    <w:rsid w:val="006B0EDE"/>
    <w:rsid w:val="006B1CEB"/>
    <w:rsid w:val="006B278E"/>
    <w:rsid w:val="006B4560"/>
    <w:rsid w:val="006B4BCA"/>
    <w:rsid w:val="006B74AE"/>
    <w:rsid w:val="006C198A"/>
    <w:rsid w:val="006C233C"/>
    <w:rsid w:val="006C35D1"/>
    <w:rsid w:val="006C3D79"/>
    <w:rsid w:val="006C4782"/>
    <w:rsid w:val="006C5DB9"/>
    <w:rsid w:val="006C7A69"/>
    <w:rsid w:val="006D08D0"/>
    <w:rsid w:val="006D13E6"/>
    <w:rsid w:val="006D4863"/>
    <w:rsid w:val="006D5BB3"/>
    <w:rsid w:val="006D5C66"/>
    <w:rsid w:val="006D78B0"/>
    <w:rsid w:val="006D7C8C"/>
    <w:rsid w:val="006E122E"/>
    <w:rsid w:val="006E285F"/>
    <w:rsid w:val="006E4526"/>
    <w:rsid w:val="006E7B3D"/>
    <w:rsid w:val="006F094A"/>
    <w:rsid w:val="006F4C53"/>
    <w:rsid w:val="006F625B"/>
    <w:rsid w:val="006F7E6F"/>
    <w:rsid w:val="007010E2"/>
    <w:rsid w:val="00702041"/>
    <w:rsid w:val="00702AFB"/>
    <w:rsid w:val="00704D60"/>
    <w:rsid w:val="00704EC9"/>
    <w:rsid w:val="00706D63"/>
    <w:rsid w:val="007077A4"/>
    <w:rsid w:val="00707B0B"/>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DB4"/>
    <w:rsid w:val="0073306F"/>
    <w:rsid w:val="00733B22"/>
    <w:rsid w:val="00733BDD"/>
    <w:rsid w:val="00733F3B"/>
    <w:rsid w:val="007357AF"/>
    <w:rsid w:val="0073615B"/>
    <w:rsid w:val="007371A7"/>
    <w:rsid w:val="007413E0"/>
    <w:rsid w:val="00741428"/>
    <w:rsid w:val="007414B9"/>
    <w:rsid w:val="00747A72"/>
    <w:rsid w:val="00750929"/>
    <w:rsid w:val="007511E4"/>
    <w:rsid w:val="00753760"/>
    <w:rsid w:val="00755994"/>
    <w:rsid w:val="0075685B"/>
    <w:rsid w:val="00760548"/>
    <w:rsid w:val="007605A8"/>
    <w:rsid w:val="00761D7F"/>
    <w:rsid w:val="00763C85"/>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2B2A"/>
    <w:rsid w:val="007B4221"/>
    <w:rsid w:val="007C1B23"/>
    <w:rsid w:val="007C6732"/>
    <w:rsid w:val="007C6B9A"/>
    <w:rsid w:val="007C7824"/>
    <w:rsid w:val="007D2166"/>
    <w:rsid w:val="007D3940"/>
    <w:rsid w:val="007D5E1F"/>
    <w:rsid w:val="007E085D"/>
    <w:rsid w:val="007E0AF2"/>
    <w:rsid w:val="007E128D"/>
    <w:rsid w:val="007E1D6F"/>
    <w:rsid w:val="007E49FF"/>
    <w:rsid w:val="007E4CC4"/>
    <w:rsid w:val="007E6BDB"/>
    <w:rsid w:val="007E76B7"/>
    <w:rsid w:val="007F0D19"/>
    <w:rsid w:val="007F301A"/>
    <w:rsid w:val="007F3A5E"/>
    <w:rsid w:val="007F48D3"/>
    <w:rsid w:val="007F5D89"/>
    <w:rsid w:val="007F6848"/>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30386"/>
    <w:rsid w:val="00830771"/>
    <w:rsid w:val="00830946"/>
    <w:rsid w:val="00831115"/>
    <w:rsid w:val="00831817"/>
    <w:rsid w:val="00831926"/>
    <w:rsid w:val="0083313F"/>
    <w:rsid w:val="0084234C"/>
    <w:rsid w:val="0085185C"/>
    <w:rsid w:val="00851A72"/>
    <w:rsid w:val="00852C59"/>
    <w:rsid w:val="00853F0C"/>
    <w:rsid w:val="00855B94"/>
    <w:rsid w:val="00856D89"/>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407"/>
    <w:rsid w:val="008A3E34"/>
    <w:rsid w:val="008A4287"/>
    <w:rsid w:val="008A6644"/>
    <w:rsid w:val="008A7020"/>
    <w:rsid w:val="008B086D"/>
    <w:rsid w:val="008B1A4E"/>
    <w:rsid w:val="008B1B38"/>
    <w:rsid w:val="008B2460"/>
    <w:rsid w:val="008B4103"/>
    <w:rsid w:val="008B4E00"/>
    <w:rsid w:val="008B5249"/>
    <w:rsid w:val="008B5AA9"/>
    <w:rsid w:val="008B5DD9"/>
    <w:rsid w:val="008B60DF"/>
    <w:rsid w:val="008B6EDA"/>
    <w:rsid w:val="008C324B"/>
    <w:rsid w:val="008C4465"/>
    <w:rsid w:val="008C46EF"/>
    <w:rsid w:val="008C5691"/>
    <w:rsid w:val="008C6556"/>
    <w:rsid w:val="008D0158"/>
    <w:rsid w:val="008D05CA"/>
    <w:rsid w:val="008D1C86"/>
    <w:rsid w:val="008D3523"/>
    <w:rsid w:val="008D5D27"/>
    <w:rsid w:val="008D6A0A"/>
    <w:rsid w:val="008D6CA7"/>
    <w:rsid w:val="008D7ACD"/>
    <w:rsid w:val="008E0F02"/>
    <w:rsid w:val="008E3B8D"/>
    <w:rsid w:val="008E51D3"/>
    <w:rsid w:val="008E58DC"/>
    <w:rsid w:val="008E6723"/>
    <w:rsid w:val="008F0F5C"/>
    <w:rsid w:val="008F1FFE"/>
    <w:rsid w:val="008F2596"/>
    <w:rsid w:val="008F30AA"/>
    <w:rsid w:val="008F36CE"/>
    <w:rsid w:val="008F5254"/>
    <w:rsid w:val="008F7FF0"/>
    <w:rsid w:val="009007DF"/>
    <w:rsid w:val="00902409"/>
    <w:rsid w:val="00905D08"/>
    <w:rsid w:val="00906F32"/>
    <w:rsid w:val="009109CE"/>
    <w:rsid w:val="00911681"/>
    <w:rsid w:val="009157CE"/>
    <w:rsid w:val="009170C7"/>
    <w:rsid w:val="00920F6E"/>
    <w:rsid w:val="00921948"/>
    <w:rsid w:val="0092236F"/>
    <w:rsid w:val="00925985"/>
    <w:rsid w:val="00927ABA"/>
    <w:rsid w:val="009302BD"/>
    <w:rsid w:val="00930975"/>
    <w:rsid w:val="009349A9"/>
    <w:rsid w:val="00935B07"/>
    <w:rsid w:val="00936080"/>
    <w:rsid w:val="00937B65"/>
    <w:rsid w:val="00942D77"/>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6E24"/>
    <w:rsid w:val="009705D6"/>
    <w:rsid w:val="009757CD"/>
    <w:rsid w:val="0097755E"/>
    <w:rsid w:val="009805A0"/>
    <w:rsid w:val="00980C77"/>
    <w:rsid w:val="00980D98"/>
    <w:rsid w:val="0098132B"/>
    <w:rsid w:val="00983B11"/>
    <w:rsid w:val="00983B74"/>
    <w:rsid w:val="00984531"/>
    <w:rsid w:val="009915E8"/>
    <w:rsid w:val="009A22FD"/>
    <w:rsid w:val="009A24D4"/>
    <w:rsid w:val="009A2A5C"/>
    <w:rsid w:val="009A5866"/>
    <w:rsid w:val="009A5D05"/>
    <w:rsid w:val="009A5D9A"/>
    <w:rsid w:val="009A74DE"/>
    <w:rsid w:val="009A75D7"/>
    <w:rsid w:val="009B02C2"/>
    <w:rsid w:val="009B1B72"/>
    <w:rsid w:val="009B3065"/>
    <w:rsid w:val="009C3124"/>
    <w:rsid w:val="009C4A4B"/>
    <w:rsid w:val="009C635E"/>
    <w:rsid w:val="009C74E8"/>
    <w:rsid w:val="009D1FF3"/>
    <w:rsid w:val="009D28B3"/>
    <w:rsid w:val="009D4746"/>
    <w:rsid w:val="009D7922"/>
    <w:rsid w:val="009E06DE"/>
    <w:rsid w:val="009E0A42"/>
    <w:rsid w:val="009E0A8B"/>
    <w:rsid w:val="009E21BC"/>
    <w:rsid w:val="009E2533"/>
    <w:rsid w:val="009E3657"/>
    <w:rsid w:val="009E4335"/>
    <w:rsid w:val="009E56B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5F01"/>
    <w:rsid w:val="00A5027D"/>
    <w:rsid w:val="00A51E7B"/>
    <w:rsid w:val="00A53508"/>
    <w:rsid w:val="00A53A6A"/>
    <w:rsid w:val="00A55052"/>
    <w:rsid w:val="00A56AB6"/>
    <w:rsid w:val="00A60347"/>
    <w:rsid w:val="00A60C1A"/>
    <w:rsid w:val="00A61D30"/>
    <w:rsid w:val="00A6242F"/>
    <w:rsid w:val="00A6420E"/>
    <w:rsid w:val="00A646FF"/>
    <w:rsid w:val="00A6480B"/>
    <w:rsid w:val="00A65190"/>
    <w:rsid w:val="00A67D9D"/>
    <w:rsid w:val="00A708A5"/>
    <w:rsid w:val="00A710F7"/>
    <w:rsid w:val="00A72C52"/>
    <w:rsid w:val="00A7379E"/>
    <w:rsid w:val="00A739E2"/>
    <w:rsid w:val="00A73DCB"/>
    <w:rsid w:val="00A74286"/>
    <w:rsid w:val="00A74E36"/>
    <w:rsid w:val="00A8132C"/>
    <w:rsid w:val="00A81719"/>
    <w:rsid w:val="00A81E76"/>
    <w:rsid w:val="00A81E91"/>
    <w:rsid w:val="00A87046"/>
    <w:rsid w:val="00A8788D"/>
    <w:rsid w:val="00A878BC"/>
    <w:rsid w:val="00A9090F"/>
    <w:rsid w:val="00A909A5"/>
    <w:rsid w:val="00A92C47"/>
    <w:rsid w:val="00A9311F"/>
    <w:rsid w:val="00A94911"/>
    <w:rsid w:val="00A96923"/>
    <w:rsid w:val="00A96C21"/>
    <w:rsid w:val="00A974B3"/>
    <w:rsid w:val="00AA08D3"/>
    <w:rsid w:val="00AA58A7"/>
    <w:rsid w:val="00AA5B4A"/>
    <w:rsid w:val="00AA6A39"/>
    <w:rsid w:val="00AA6B8D"/>
    <w:rsid w:val="00AB1F97"/>
    <w:rsid w:val="00AB23E3"/>
    <w:rsid w:val="00AB24E3"/>
    <w:rsid w:val="00AB4403"/>
    <w:rsid w:val="00AB5E7F"/>
    <w:rsid w:val="00AC1AE0"/>
    <w:rsid w:val="00AC3EC6"/>
    <w:rsid w:val="00AC56E7"/>
    <w:rsid w:val="00AD112E"/>
    <w:rsid w:val="00AD157C"/>
    <w:rsid w:val="00AD33DD"/>
    <w:rsid w:val="00AD5F89"/>
    <w:rsid w:val="00AD7222"/>
    <w:rsid w:val="00AD73F1"/>
    <w:rsid w:val="00AE35D4"/>
    <w:rsid w:val="00AE4667"/>
    <w:rsid w:val="00AE5506"/>
    <w:rsid w:val="00AE6541"/>
    <w:rsid w:val="00AE6877"/>
    <w:rsid w:val="00AE6993"/>
    <w:rsid w:val="00AE799A"/>
    <w:rsid w:val="00AF0DDF"/>
    <w:rsid w:val="00AF19A1"/>
    <w:rsid w:val="00AF4EF5"/>
    <w:rsid w:val="00B03B61"/>
    <w:rsid w:val="00B0498A"/>
    <w:rsid w:val="00B04E4F"/>
    <w:rsid w:val="00B0597F"/>
    <w:rsid w:val="00B059ED"/>
    <w:rsid w:val="00B0655C"/>
    <w:rsid w:val="00B075B5"/>
    <w:rsid w:val="00B132FD"/>
    <w:rsid w:val="00B220FA"/>
    <w:rsid w:val="00B223BA"/>
    <w:rsid w:val="00B23011"/>
    <w:rsid w:val="00B263EE"/>
    <w:rsid w:val="00B27F9D"/>
    <w:rsid w:val="00B30AE0"/>
    <w:rsid w:val="00B3232A"/>
    <w:rsid w:val="00B35A2C"/>
    <w:rsid w:val="00B4013A"/>
    <w:rsid w:val="00B40470"/>
    <w:rsid w:val="00B42381"/>
    <w:rsid w:val="00B44F34"/>
    <w:rsid w:val="00B4507E"/>
    <w:rsid w:val="00B50915"/>
    <w:rsid w:val="00B517EB"/>
    <w:rsid w:val="00B51B2B"/>
    <w:rsid w:val="00B53D7E"/>
    <w:rsid w:val="00B6134F"/>
    <w:rsid w:val="00B61794"/>
    <w:rsid w:val="00B619FE"/>
    <w:rsid w:val="00B61BC6"/>
    <w:rsid w:val="00B63F24"/>
    <w:rsid w:val="00B65B63"/>
    <w:rsid w:val="00B65D36"/>
    <w:rsid w:val="00B677B2"/>
    <w:rsid w:val="00B70811"/>
    <w:rsid w:val="00B71DF0"/>
    <w:rsid w:val="00B72AD7"/>
    <w:rsid w:val="00B72F33"/>
    <w:rsid w:val="00B73C0C"/>
    <w:rsid w:val="00B763B7"/>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291D"/>
    <w:rsid w:val="00BA6D7F"/>
    <w:rsid w:val="00BB05CA"/>
    <w:rsid w:val="00BB12D6"/>
    <w:rsid w:val="00BB47D7"/>
    <w:rsid w:val="00BC087B"/>
    <w:rsid w:val="00BC16AF"/>
    <w:rsid w:val="00BC5E26"/>
    <w:rsid w:val="00BC7284"/>
    <w:rsid w:val="00BC7B2F"/>
    <w:rsid w:val="00BD1613"/>
    <w:rsid w:val="00BD21E4"/>
    <w:rsid w:val="00BD2521"/>
    <w:rsid w:val="00BD30EA"/>
    <w:rsid w:val="00BD4CE4"/>
    <w:rsid w:val="00BE0F81"/>
    <w:rsid w:val="00BE23E5"/>
    <w:rsid w:val="00BE3542"/>
    <w:rsid w:val="00BE440E"/>
    <w:rsid w:val="00BF1FCB"/>
    <w:rsid w:val="00BF29B7"/>
    <w:rsid w:val="00BF2B66"/>
    <w:rsid w:val="00BF4E8C"/>
    <w:rsid w:val="00BF5064"/>
    <w:rsid w:val="00BF5A1A"/>
    <w:rsid w:val="00C00D23"/>
    <w:rsid w:val="00C01B08"/>
    <w:rsid w:val="00C0385F"/>
    <w:rsid w:val="00C04F3A"/>
    <w:rsid w:val="00C052B0"/>
    <w:rsid w:val="00C068C8"/>
    <w:rsid w:val="00C07BE4"/>
    <w:rsid w:val="00C10564"/>
    <w:rsid w:val="00C10966"/>
    <w:rsid w:val="00C10CFB"/>
    <w:rsid w:val="00C11214"/>
    <w:rsid w:val="00C13299"/>
    <w:rsid w:val="00C171BE"/>
    <w:rsid w:val="00C20CA2"/>
    <w:rsid w:val="00C218D1"/>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612E"/>
    <w:rsid w:val="00C76193"/>
    <w:rsid w:val="00C767A6"/>
    <w:rsid w:val="00C778B7"/>
    <w:rsid w:val="00C77E25"/>
    <w:rsid w:val="00C86690"/>
    <w:rsid w:val="00C866B6"/>
    <w:rsid w:val="00C86E28"/>
    <w:rsid w:val="00C8730B"/>
    <w:rsid w:val="00C92263"/>
    <w:rsid w:val="00C9340E"/>
    <w:rsid w:val="00C93CE7"/>
    <w:rsid w:val="00C9574C"/>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8E9"/>
    <w:rsid w:val="00CC63D3"/>
    <w:rsid w:val="00CC6A92"/>
    <w:rsid w:val="00CD3A0E"/>
    <w:rsid w:val="00CD665B"/>
    <w:rsid w:val="00CE12A7"/>
    <w:rsid w:val="00CE174A"/>
    <w:rsid w:val="00CE32E7"/>
    <w:rsid w:val="00CE38D8"/>
    <w:rsid w:val="00CE4406"/>
    <w:rsid w:val="00CE6DBB"/>
    <w:rsid w:val="00CE7D88"/>
    <w:rsid w:val="00CF04B5"/>
    <w:rsid w:val="00CF11ED"/>
    <w:rsid w:val="00CF2AA3"/>
    <w:rsid w:val="00D01323"/>
    <w:rsid w:val="00D0549C"/>
    <w:rsid w:val="00D0659B"/>
    <w:rsid w:val="00D10553"/>
    <w:rsid w:val="00D135D4"/>
    <w:rsid w:val="00D1611E"/>
    <w:rsid w:val="00D165E3"/>
    <w:rsid w:val="00D17D04"/>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9412C"/>
    <w:rsid w:val="00D956B2"/>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71AB"/>
    <w:rsid w:val="00DD7575"/>
    <w:rsid w:val="00DE04B1"/>
    <w:rsid w:val="00DE7215"/>
    <w:rsid w:val="00DE7497"/>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5D63"/>
    <w:rsid w:val="00E47E59"/>
    <w:rsid w:val="00E518F4"/>
    <w:rsid w:val="00E51CB7"/>
    <w:rsid w:val="00E55F47"/>
    <w:rsid w:val="00E5675E"/>
    <w:rsid w:val="00E57F86"/>
    <w:rsid w:val="00E60753"/>
    <w:rsid w:val="00E60D24"/>
    <w:rsid w:val="00E61911"/>
    <w:rsid w:val="00E62375"/>
    <w:rsid w:val="00E63A3E"/>
    <w:rsid w:val="00E65184"/>
    <w:rsid w:val="00E6575A"/>
    <w:rsid w:val="00E67A0D"/>
    <w:rsid w:val="00E71671"/>
    <w:rsid w:val="00E71A39"/>
    <w:rsid w:val="00E723E8"/>
    <w:rsid w:val="00E756DE"/>
    <w:rsid w:val="00E8168B"/>
    <w:rsid w:val="00E82759"/>
    <w:rsid w:val="00E82DCD"/>
    <w:rsid w:val="00E86118"/>
    <w:rsid w:val="00E9196D"/>
    <w:rsid w:val="00E92646"/>
    <w:rsid w:val="00E93966"/>
    <w:rsid w:val="00E94062"/>
    <w:rsid w:val="00E94DAA"/>
    <w:rsid w:val="00E974C2"/>
    <w:rsid w:val="00EA06BE"/>
    <w:rsid w:val="00EA10D7"/>
    <w:rsid w:val="00EA1B4D"/>
    <w:rsid w:val="00EA64F1"/>
    <w:rsid w:val="00EA7BE5"/>
    <w:rsid w:val="00EB13A1"/>
    <w:rsid w:val="00EB1A73"/>
    <w:rsid w:val="00EB4685"/>
    <w:rsid w:val="00EC0340"/>
    <w:rsid w:val="00EC0523"/>
    <w:rsid w:val="00EC22CF"/>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793A"/>
    <w:rsid w:val="00EE7F58"/>
    <w:rsid w:val="00EF0231"/>
    <w:rsid w:val="00EF2521"/>
    <w:rsid w:val="00EF35B1"/>
    <w:rsid w:val="00EF4964"/>
    <w:rsid w:val="00EF5112"/>
    <w:rsid w:val="00F004A4"/>
    <w:rsid w:val="00F03ABF"/>
    <w:rsid w:val="00F03BEB"/>
    <w:rsid w:val="00F05E18"/>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41EAD"/>
    <w:rsid w:val="00F438B6"/>
    <w:rsid w:val="00F457A8"/>
    <w:rsid w:val="00F46CCC"/>
    <w:rsid w:val="00F50681"/>
    <w:rsid w:val="00F52325"/>
    <w:rsid w:val="00F52947"/>
    <w:rsid w:val="00F53EC1"/>
    <w:rsid w:val="00F53EDE"/>
    <w:rsid w:val="00F541B6"/>
    <w:rsid w:val="00F563DC"/>
    <w:rsid w:val="00F610E1"/>
    <w:rsid w:val="00F61314"/>
    <w:rsid w:val="00F6481E"/>
    <w:rsid w:val="00F648C0"/>
    <w:rsid w:val="00F67DAB"/>
    <w:rsid w:val="00F73054"/>
    <w:rsid w:val="00F7316A"/>
    <w:rsid w:val="00F73C3C"/>
    <w:rsid w:val="00F742F1"/>
    <w:rsid w:val="00F765AA"/>
    <w:rsid w:val="00F80819"/>
    <w:rsid w:val="00F80E81"/>
    <w:rsid w:val="00F81AB5"/>
    <w:rsid w:val="00F83827"/>
    <w:rsid w:val="00F86B24"/>
    <w:rsid w:val="00F94441"/>
    <w:rsid w:val="00FA24D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22FF3-C1BA-4AF4-B1B7-05D24BF77284}">
  <ds:schemaRefs>
    <ds:schemaRef ds:uri="http://schemas.microsoft.com/sharepoint/v3/contenttype/forms"/>
  </ds:schemaRefs>
</ds:datastoreItem>
</file>

<file path=customXml/itemProps2.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customXml/itemProps4.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3984</Words>
  <Characters>27521</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15</cp:revision>
  <cp:lastPrinted>2018-05-18T05:35:00Z</cp:lastPrinted>
  <dcterms:created xsi:type="dcterms:W3CDTF">2025-04-29T04:37:00Z</dcterms:created>
  <dcterms:modified xsi:type="dcterms:W3CDTF">2026-02-02T07:47:00Z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